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5CC2C">
      <w:pPr>
        <w:tabs>
          <w:tab w:val="left" w:pos="3223"/>
        </w:tabs>
        <w:kinsoku w:val="0"/>
        <w:overflowPunct w:val="0"/>
        <w:autoSpaceDE w:val="0"/>
        <w:autoSpaceDN w:val="0"/>
        <w:adjustRightInd w:val="0"/>
        <w:snapToGrid w:val="0"/>
        <w:spacing w:line="360" w:lineRule="auto"/>
        <w:jc w:val="center"/>
        <w:outlineLvl w:val="0"/>
        <w:rPr>
          <w:rFonts w:hint="eastAsia" w:ascii="华文中宋" w:hAnsi="华文中宋"/>
          <w:b/>
          <w:bCs/>
          <w:kern w:val="44"/>
          <w:sz w:val="44"/>
          <w:szCs w:val="44"/>
        </w:rPr>
      </w:pPr>
      <w:bookmarkStart w:id="0" w:name="_Toc160312345"/>
      <w:bookmarkStart w:id="1" w:name="_Toc160312335"/>
      <w:r>
        <w:rPr>
          <w:rFonts w:hint="eastAsia" w:ascii="华文中宋" w:hAnsi="华文中宋"/>
          <w:b/>
          <w:bCs/>
          <w:kern w:val="44"/>
          <w:sz w:val="44"/>
          <w:szCs w:val="44"/>
        </w:rPr>
        <w:t>华夏医学科技奖申报推荐公示内容</w:t>
      </w:r>
      <w:bookmarkEnd w:id="0"/>
    </w:p>
    <w:p w14:paraId="078FC5D9">
      <w:pPr>
        <w:adjustRightInd w:val="0"/>
        <w:snapToGrid w:val="0"/>
        <w:spacing w:line="600" w:lineRule="exact"/>
        <w:rPr>
          <w:b/>
          <w:color w:val="000000"/>
          <w:sz w:val="24"/>
          <w:szCs w:val="24"/>
        </w:rPr>
      </w:pPr>
      <w:r>
        <w:rPr>
          <w:rFonts w:hint="eastAsia"/>
          <w:b/>
          <w:color w:val="000000"/>
          <w:sz w:val="24"/>
          <w:szCs w:val="24"/>
        </w:rPr>
        <w:t>科学技术奖</w:t>
      </w:r>
    </w:p>
    <w:p w14:paraId="7816855A">
      <w:pPr>
        <w:adjustRightInd w:val="0"/>
        <w:snapToGrid w:val="0"/>
        <w:spacing w:line="600" w:lineRule="exact"/>
        <w:rPr>
          <w:b/>
          <w:color w:val="000000"/>
          <w:sz w:val="24"/>
          <w:szCs w:val="24"/>
        </w:rPr>
      </w:pPr>
      <w:r>
        <w:rPr>
          <w:rFonts w:hint="eastAsia"/>
          <w:b/>
          <w:color w:val="000000"/>
          <w:sz w:val="24"/>
          <w:szCs w:val="24"/>
        </w:rPr>
        <w:t>一、项目名称</w:t>
      </w:r>
    </w:p>
    <w:p w14:paraId="66CABC79">
      <w:pPr>
        <w:adjustRightInd w:val="0"/>
        <w:snapToGrid w:val="0"/>
        <w:spacing w:line="600" w:lineRule="exact"/>
        <w:ind w:firstLine="480" w:firstLineChars="200"/>
        <w:rPr>
          <w:bCs/>
          <w:color w:val="000000"/>
          <w:sz w:val="24"/>
          <w:szCs w:val="24"/>
        </w:rPr>
      </w:pPr>
      <w:bookmarkStart w:id="11" w:name="_GoBack"/>
      <w:r>
        <w:rPr>
          <w:rFonts w:hint="eastAsia"/>
          <w:bCs/>
          <w:color w:val="000000"/>
          <w:sz w:val="24"/>
          <w:szCs w:val="24"/>
        </w:rPr>
        <w:t>结直肠癌免疫治疗新机制及外科诊治新技术</w:t>
      </w:r>
    </w:p>
    <w:bookmarkEnd w:id="11"/>
    <w:p w14:paraId="6F87799A">
      <w:pPr>
        <w:adjustRightInd w:val="0"/>
        <w:snapToGrid w:val="0"/>
        <w:spacing w:line="600" w:lineRule="exact"/>
        <w:rPr>
          <w:b/>
          <w:color w:val="000000"/>
          <w:sz w:val="24"/>
          <w:szCs w:val="24"/>
        </w:rPr>
      </w:pPr>
      <w:r>
        <w:rPr>
          <w:rFonts w:hint="eastAsia"/>
          <w:b/>
          <w:color w:val="000000"/>
          <w:sz w:val="24"/>
          <w:szCs w:val="24"/>
        </w:rPr>
        <w:t>二、推荐单位</w:t>
      </w:r>
    </w:p>
    <w:p w14:paraId="7C237FCA">
      <w:pPr>
        <w:adjustRightInd w:val="0"/>
        <w:snapToGrid w:val="0"/>
        <w:spacing w:line="600" w:lineRule="exact"/>
        <w:ind w:firstLine="480" w:firstLineChars="200"/>
        <w:rPr>
          <w:bCs/>
          <w:color w:val="000000"/>
          <w:sz w:val="24"/>
          <w:szCs w:val="24"/>
        </w:rPr>
      </w:pPr>
      <w:r>
        <w:rPr>
          <w:rFonts w:hint="eastAsia"/>
          <w:bCs/>
          <w:color w:val="000000"/>
          <w:sz w:val="24"/>
          <w:szCs w:val="24"/>
        </w:rPr>
        <w:t>苏州大学</w:t>
      </w:r>
    </w:p>
    <w:p w14:paraId="7BE0E0A8">
      <w:pPr>
        <w:adjustRightInd w:val="0"/>
        <w:snapToGrid w:val="0"/>
        <w:spacing w:line="600" w:lineRule="exact"/>
        <w:rPr>
          <w:b/>
          <w:color w:val="000000"/>
          <w:sz w:val="24"/>
          <w:szCs w:val="24"/>
        </w:rPr>
      </w:pPr>
      <w:r>
        <w:rPr>
          <w:rFonts w:hint="eastAsia"/>
          <w:b/>
          <w:color w:val="000000"/>
          <w:sz w:val="24"/>
          <w:szCs w:val="24"/>
        </w:rPr>
        <w:t>三、主要完成单位</w:t>
      </w:r>
    </w:p>
    <w:p w14:paraId="53E2D7C8">
      <w:pPr>
        <w:adjustRightInd w:val="0"/>
        <w:snapToGrid w:val="0"/>
        <w:spacing w:line="600" w:lineRule="exact"/>
        <w:ind w:firstLine="480" w:firstLineChars="200"/>
        <w:rPr>
          <w:bCs/>
          <w:color w:val="000000"/>
          <w:sz w:val="24"/>
          <w:szCs w:val="24"/>
        </w:rPr>
      </w:pPr>
      <w:r>
        <w:rPr>
          <w:rFonts w:hint="eastAsia"/>
          <w:bCs/>
          <w:color w:val="000000"/>
          <w:sz w:val="24"/>
          <w:szCs w:val="24"/>
        </w:rPr>
        <w:t>苏州大学附属第一医院（赵鑫、朱新国、姚一舟）</w:t>
      </w:r>
    </w:p>
    <w:p w14:paraId="38C1D43E">
      <w:pPr>
        <w:adjustRightInd w:val="0"/>
        <w:snapToGrid w:val="0"/>
        <w:spacing w:line="600" w:lineRule="exact"/>
        <w:ind w:firstLine="480" w:firstLineChars="200"/>
        <w:rPr>
          <w:bCs/>
          <w:color w:val="000000"/>
          <w:sz w:val="24"/>
          <w:szCs w:val="24"/>
        </w:rPr>
      </w:pPr>
      <w:r>
        <w:rPr>
          <w:rFonts w:hint="eastAsia"/>
          <w:bCs/>
          <w:color w:val="000000"/>
          <w:sz w:val="24"/>
          <w:szCs w:val="24"/>
        </w:rPr>
        <w:t>苏州大学（王雪峰）</w:t>
      </w:r>
    </w:p>
    <w:p w14:paraId="310BC3A7">
      <w:pPr>
        <w:adjustRightInd w:val="0"/>
        <w:snapToGrid w:val="0"/>
        <w:spacing w:line="600" w:lineRule="exact"/>
        <w:ind w:firstLine="480" w:firstLineChars="200"/>
        <w:rPr>
          <w:bCs/>
          <w:color w:val="000000"/>
          <w:sz w:val="24"/>
          <w:szCs w:val="24"/>
        </w:rPr>
      </w:pPr>
      <w:r>
        <w:rPr>
          <w:rFonts w:hint="eastAsia"/>
          <w:bCs/>
          <w:color w:val="000000"/>
          <w:sz w:val="24"/>
          <w:szCs w:val="24"/>
        </w:rPr>
        <w:t>中国科学院苏州生物医学工程技术研究所（张家意、高欣）</w:t>
      </w:r>
    </w:p>
    <w:p w14:paraId="106271A2">
      <w:pPr>
        <w:adjustRightInd w:val="0"/>
        <w:snapToGrid w:val="0"/>
        <w:spacing w:line="600" w:lineRule="exact"/>
        <w:ind w:firstLine="480" w:firstLineChars="200"/>
        <w:rPr>
          <w:bCs/>
          <w:color w:val="000000"/>
          <w:sz w:val="24"/>
          <w:szCs w:val="24"/>
        </w:rPr>
      </w:pPr>
      <w:r>
        <w:rPr>
          <w:rFonts w:hint="eastAsia"/>
          <w:bCs/>
          <w:color w:val="000000"/>
          <w:sz w:val="24"/>
          <w:szCs w:val="24"/>
        </w:rPr>
        <w:t>苏州大学附属第四医院（苏州市独墅湖医院）（王进）</w:t>
      </w:r>
    </w:p>
    <w:p w14:paraId="1C040106">
      <w:pPr>
        <w:adjustRightInd w:val="0"/>
        <w:snapToGrid w:val="0"/>
        <w:spacing w:line="600" w:lineRule="exact"/>
        <w:ind w:firstLine="480" w:firstLineChars="200"/>
        <w:rPr>
          <w:bCs/>
          <w:color w:val="000000"/>
          <w:sz w:val="24"/>
          <w:szCs w:val="24"/>
        </w:rPr>
      </w:pPr>
      <w:r>
        <w:rPr>
          <w:rFonts w:hint="eastAsia"/>
          <w:bCs/>
          <w:color w:val="000000"/>
          <w:sz w:val="24"/>
          <w:szCs w:val="24"/>
        </w:rPr>
        <w:t>旭光科星抗体生物科技有限公司（傅丰庆）</w:t>
      </w:r>
    </w:p>
    <w:p w14:paraId="02128657">
      <w:pPr>
        <w:adjustRightInd w:val="0"/>
        <w:snapToGrid w:val="0"/>
        <w:spacing w:line="600" w:lineRule="exact"/>
        <w:rPr>
          <w:b/>
          <w:color w:val="000000"/>
          <w:sz w:val="24"/>
          <w:szCs w:val="24"/>
        </w:rPr>
      </w:pPr>
      <w:r>
        <w:rPr>
          <w:rFonts w:hint="eastAsia"/>
          <w:b/>
          <w:color w:val="000000"/>
          <w:sz w:val="24"/>
          <w:szCs w:val="24"/>
        </w:rPr>
        <w:t>四、主要完成人</w:t>
      </w:r>
    </w:p>
    <w:p w14:paraId="067FC38E">
      <w:pPr>
        <w:adjustRightInd w:val="0"/>
        <w:snapToGrid w:val="0"/>
        <w:spacing w:line="600" w:lineRule="exact"/>
        <w:ind w:firstLine="480" w:firstLineChars="200"/>
        <w:rPr>
          <w:bCs/>
          <w:color w:val="000000"/>
          <w:sz w:val="24"/>
          <w:szCs w:val="24"/>
        </w:rPr>
      </w:pPr>
      <w:r>
        <w:rPr>
          <w:rFonts w:hint="eastAsia"/>
          <w:bCs/>
          <w:color w:val="000000"/>
          <w:sz w:val="24"/>
          <w:szCs w:val="24"/>
        </w:rPr>
        <w:t>赵鑫、王雪峰、朱新国、张家意、高欣、王进、姚一舟、傅丰庆</w:t>
      </w:r>
    </w:p>
    <w:p w14:paraId="0E1BFE28">
      <w:pPr>
        <w:adjustRightInd w:val="0"/>
        <w:snapToGrid w:val="0"/>
        <w:spacing w:line="600" w:lineRule="exact"/>
        <w:rPr>
          <w:b/>
          <w:color w:val="000000"/>
          <w:sz w:val="24"/>
          <w:szCs w:val="24"/>
        </w:rPr>
      </w:pPr>
      <w:r>
        <w:rPr>
          <w:rFonts w:hint="eastAsia"/>
          <w:b/>
          <w:color w:val="000000"/>
          <w:sz w:val="24"/>
          <w:szCs w:val="24"/>
        </w:rPr>
        <w:t>五、项目简介</w:t>
      </w:r>
    </w:p>
    <w:p w14:paraId="4EAD9E3D">
      <w:pPr>
        <w:adjustRightInd w:val="0"/>
        <w:snapToGrid w:val="0"/>
        <w:spacing w:line="360" w:lineRule="exact"/>
        <w:ind w:firstLine="480" w:firstLineChars="200"/>
        <w:rPr>
          <w:sz w:val="24"/>
          <w:szCs w:val="24"/>
        </w:rPr>
      </w:pPr>
      <w:bookmarkStart w:id="2" w:name="_Hlk165495804"/>
      <w:bookmarkStart w:id="3" w:name="_Hlk166507829"/>
      <w:bookmarkStart w:id="4" w:name="_Hlk165629437"/>
      <w:r>
        <w:rPr>
          <w:sz w:val="24"/>
          <w:szCs w:val="24"/>
        </w:rPr>
        <w:t>结直肠癌发病率逐年上升，发病隐匿、</w:t>
      </w:r>
      <w:r>
        <w:rPr>
          <w:rFonts w:hint="eastAsia"/>
          <w:sz w:val="24"/>
          <w:szCs w:val="24"/>
        </w:rPr>
        <w:t>早期确诊较困难、影像判读难度大、</w:t>
      </w:r>
      <w:r>
        <w:rPr>
          <w:sz w:val="24"/>
          <w:szCs w:val="24"/>
        </w:rPr>
        <w:t>免疫治疗</w:t>
      </w:r>
      <w:r>
        <w:rPr>
          <w:rFonts w:hint="eastAsia"/>
          <w:sz w:val="24"/>
          <w:szCs w:val="24"/>
        </w:rPr>
        <w:t>不敏感</w:t>
      </w:r>
      <w:r>
        <w:rPr>
          <w:sz w:val="24"/>
          <w:szCs w:val="24"/>
        </w:rPr>
        <w:t>，5年生存率仍</w:t>
      </w:r>
      <w:r>
        <w:rPr>
          <w:rFonts w:hint="eastAsia"/>
          <w:sz w:val="24"/>
          <w:szCs w:val="24"/>
        </w:rPr>
        <w:t>不令人满意</w:t>
      </w:r>
      <w:r>
        <w:rPr>
          <w:sz w:val="24"/>
          <w:szCs w:val="24"/>
        </w:rPr>
        <w:t>。针对此困境，本项目组自2013年开始在国家</w:t>
      </w:r>
      <w:r>
        <w:rPr>
          <w:rFonts w:hint="eastAsia"/>
          <w:sz w:val="24"/>
          <w:szCs w:val="24"/>
        </w:rPr>
        <w:t>、</w:t>
      </w:r>
      <w:r>
        <w:rPr>
          <w:sz w:val="24"/>
          <w:szCs w:val="24"/>
        </w:rPr>
        <w:t>省</w:t>
      </w:r>
      <w:r>
        <w:rPr>
          <w:rFonts w:hint="eastAsia"/>
          <w:sz w:val="24"/>
          <w:szCs w:val="24"/>
        </w:rPr>
        <w:t>和市</w:t>
      </w:r>
      <w:r>
        <w:rPr>
          <w:sz w:val="24"/>
          <w:szCs w:val="24"/>
        </w:rPr>
        <w:t>课题的资助下，对结直肠癌诊疗</w:t>
      </w:r>
      <w:r>
        <w:rPr>
          <w:rFonts w:hint="eastAsia"/>
          <w:sz w:val="24"/>
          <w:szCs w:val="24"/>
        </w:rPr>
        <w:t>亟待解决的问题</w:t>
      </w:r>
      <w:r>
        <w:rPr>
          <w:sz w:val="24"/>
          <w:szCs w:val="24"/>
        </w:rPr>
        <w:t>进行</w:t>
      </w:r>
      <w:r>
        <w:rPr>
          <w:rFonts w:hint="eastAsia"/>
          <w:sz w:val="24"/>
          <w:szCs w:val="24"/>
        </w:rPr>
        <w:t>攻关</w:t>
      </w:r>
      <w:r>
        <w:rPr>
          <w:sz w:val="24"/>
          <w:szCs w:val="24"/>
        </w:rPr>
        <w:t>，取得如下成果：</w:t>
      </w:r>
    </w:p>
    <w:p w14:paraId="759C5982">
      <w:pPr>
        <w:adjustRightInd w:val="0"/>
        <w:snapToGrid w:val="0"/>
        <w:spacing w:line="360" w:lineRule="exact"/>
        <w:ind w:firstLine="482" w:firstLineChars="200"/>
        <w:rPr>
          <w:sz w:val="24"/>
          <w:szCs w:val="24"/>
        </w:rPr>
      </w:pPr>
      <w:r>
        <w:rPr>
          <w:b/>
          <w:sz w:val="24"/>
          <w:szCs w:val="24"/>
        </w:rPr>
        <w:t>1.</w:t>
      </w:r>
      <w:r>
        <w:rPr>
          <w:rFonts w:hint="eastAsia"/>
          <w:b/>
          <w:sz w:val="24"/>
          <w:szCs w:val="24"/>
        </w:rPr>
        <w:t>揭示</w:t>
      </w:r>
      <w:r>
        <w:rPr>
          <w:b/>
          <w:sz w:val="24"/>
          <w:szCs w:val="24"/>
        </w:rPr>
        <w:t>结直肠癌免疫治疗</w:t>
      </w:r>
      <w:r>
        <w:rPr>
          <w:rFonts w:hint="eastAsia"/>
          <w:b/>
          <w:sz w:val="24"/>
          <w:szCs w:val="24"/>
        </w:rPr>
        <w:t>新机制并向</w:t>
      </w:r>
      <w:r>
        <w:rPr>
          <w:b/>
          <w:sz w:val="24"/>
          <w:szCs w:val="24"/>
        </w:rPr>
        <w:t>临床转化应用：</w:t>
      </w:r>
      <w:r>
        <w:rPr>
          <w:sz w:val="24"/>
          <w:szCs w:val="24"/>
        </w:rPr>
        <w:t>结直肠癌的免疫治疗已显示出巨大的前景。然而目前总体疗效欠佳。本项目组在此方面做出如下创新：</w:t>
      </w:r>
      <w:r>
        <w:rPr>
          <w:b/>
          <w:bCs/>
          <w:sz w:val="24"/>
          <w:szCs w:val="24"/>
        </w:rPr>
        <w:t>（1）</w:t>
      </w:r>
      <w:r>
        <w:rPr>
          <w:sz w:val="24"/>
          <w:szCs w:val="24"/>
        </w:rPr>
        <w:t>阐明了白细胞介素-33（IL-33）以及白细胞介素-36（IL-36）在结直肠癌组织</w:t>
      </w:r>
      <w:r>
        <w:rPr>
          <w:rFonts w:hint="eastAsia"/>
          <w:sz w:val="24"/>
          <w:szCs w:val="24"/>
        </w:rPr>
        <w:t>促进免疫应答</w:t>
      </w:r>
      <w:r>
        <w:rPr>
          <w:sz w:val="24"/>
          <w:szCs w:val="24"/>
        </w:rPr>
        <w:t>的</w:t>
      </w:r>
      <w:r>
        <w:rPr>
          <w:rFonts w:hint="eastAsia"/>
          <w:sz w:val="24"/>
          <w:szCs w:val="24"/>
        </w:rPr>
        <w:t>新机制，为结直肠癌免疫治疗提供了候选分子和理论依据。其中IL-33抗肿瘤免疫文章发表于美国免疫学会刊Journal of Immunology，他引率144篇次，获Nature、Cell、Science及其子刊引用</w:t>
      </w:r>
      <w:r>
        <w:rPr>
          <w:sz w:val="24"/>
          <w:szCs w:val="24"/>
        </w:rPr>
        <w:t>。</w:t>
      </w:r>
      <w:r>
        <w:rPr>
          <w:b/>
          <w:bCs/>
          <w:sz w:val="24"/>
          <w:szCs w:val="24"/>
        </w:rPr>
        <w:t>（2）</w:t>
      </w:r>
      <w:r>
        <w:rPr>
          <w:sz w:val="24"/>
          <w:szCs w:val="24"/>
        </w:rPr>
        <w:t>阐明了IL-36促进初始CD8+ T和CD4+ T细胞</w:t>
      </w:r>
      <w:r>
        <w:rPr>
          <w:rFonts w:hint="eastAsia"/>
          <w:sz w:val="24"/>
          <w:szCs w:val="24"/>
        </w:rPr>
        <w:t>分别</w:t>
      </w:r>
      <w:r>
        <w:rPr>
          <w:sz w:val="24"/>
          <w:szCs w:val="24"/>
        </w:rPr>
        <w:t>向更具抗肿瘤活性的Tc9和Th9细胞分化的机制。</w:t>
      </w:r>
      <w:r>
        <w:rPr>
          <w:b/>
          <w:bCs/>
          <w:sz w:val="24"/>
          <w:szCs w:val="24"/>
        </w:rPr>
        <w:t>（3）</w:t>
      </w:r>
      <w:r>
        <w:rPr>
          <w:sz w:val="24"/>
          <w:szCs w:val="24"/>
        </w:rPr>
        <w:t>阐明了</w:t>
      </w:r>
      <w:r>
        <w:rPr>
          <w:rFonts w:hint="eastAsia"/>
          <w:sz w:val="24"/>
          <w:szCs w:val="24"/>
        </w:rPr>
        <w:t>免疫分子</w:t>
      </w:r>
      <w:r>
        <w:rPr>
          <w:sz w:val="24"/>
          <w:szCs w:val="24"/>
        </w:rPr>
        <w:t>B7-H3在结直肠癌</w:t>
      </w:r>
      <w:r>
        <w:rPr>
          <w:rFonts w:hint="eastAsia"/>
          <w:sz w:val="24"/>
          <w:szCs w:val="24"/>
        </w:rPr>
        <w:t>免疫</w:t>
      </w:r>
      <w:r>
        <w:rPr>
          <w:sz w:val="24"/>
          <w:szCs w:val="24"/>
        </w:rPr>
        <w:t>负调控的机制，并开发出</w:t>
      </w:r>
      <w:bookmarkStart w:id="5" w:name="_Hlk165664826"/>
      <w:r>
        <w:rPr>
          <w:sz w:val="24"/>
          <w:szCs w:val="24"/>
        </w:rPr>
        <w:t>靶向B7-H3的</w:t>
      </w:r>
      <w:r>
        <w:rPr>
          <w:rFonts w:hint="eastAsia"/>
          <w:sz w:val="24"/>
          <w:szCs w:val="24"/>
        </w:rPr>
        <w:t>人源化</w:t>
      </w:r>
      <w:r>
        <w:rPr>
          <w:sz w:val="24"/>
          <w:szCs w:val="24"/>
        </w:rPr>
        <w:t>单克隆抗体，应用于结直肠癌的</w:t>
      </w:r>
      <w:r>
        <w:rPr>
          <w:rFonts w:hint="eastAsia"/>
          <w:sz w:val="24"/>
          <w:szCs w:val="24"/>
        </w:rPr>
        <w:t>血液学</w:t>
      </w:r>
      <w:r>
        <w:rPr>
          <w:sz w:val="24"/>
          <w:szCs w:val="24"/>
        </w:rPr>
        <w:t>早期诊断、</w:t>
      </w:r>
      <w:r>
        <w:rPr>
          <w:rFonts w:hint="eastAsia"/>
          <w:sz w:val="24"/>
          <w:szCs w:val="24"/>
        </w:rPr>
        <w:t>肿瘤</w:t>
      </w:r>
      <w:r>
        <w:rPr>
          <w:sz w:val="24"/>
          <w:szCs w:val="24"/>
        </w:rPr>
        <w:t>免疫组化</w:t>
      </w:r>
      <w:r>
        <w:rPr>
          <w:rFonts w:hint="eastAsia"/>
          <w:sz w:val="24"/>
          <w:szCs w:val="24"/>
        </w:rPr>
        <w:t>研究</w:t>
      </w:r>
      <w:r>
        <w:rPr>
          <w:sz w:val="24"/>
          <w:szCs w:val="24"/>
        </w:rPr>
        <w:t>和核素标记抗体</w:t>
      </w:r>
      <w:r>
        <w:rPr>
          <w:rFonts w:hint="eastAsia"/>
          <w:sz w:val="24"/>
          <w:szCs w:val="24"/>
        </w:rPr>
        <w:t>肿瘤</w:t>
      </w:r>
      <w:r>
        <w:rPr>
          <w:sz w:val="24"/>
          <w:szCs w:val="24"/>
        </w:rPr>
        <w:t>免疫治疗</w:t>
      </w:r>
      <w:r>
        <w:rPr>
          <w:rFonts w:hint="eastAsia"/>
          <w:sz w:val="24"/>
          <w:szCs w:val="24"/>
        </w:rPr>
        <w:t>。</w:t>
      </w:r>
      <w:r>
        <w:rPr>
          <w:sz w:val="24"/>
          <w:szCs w:val="24"/>
        </w:rPr>
        <w:t>获国家发明专利</w:t>
      </w:r>
      <w:r>
        <w:rPr>
          <w:rFonts w:hint="eastAsia"/>
          <w:sz w:val="24"/>
          <w:szCs w:val="24"/>
        </w:rPr>
        <w:t>3</w:t>
      </w:r>
      <w:r>
        <w:rPr>
          <w:sz w:val="24"/>
          <w:szCs w:val="24"/>
        </w:rPr>
        <w:t>项。</w:t>
      </w:r>
      <w:bookmarkEnd w:id="5"/>
      <w:r>
        <w:rPr>
          <w:sz w:val="24"/>
          <w:szCs w:val="24"/>
        </w:rPr>
        <w:t>发表SCI论文</w:t>
      </w:r>
      <w:r>
        <w:rPr>
          <w:rFonts w:hint="eastAsia"/>
          <w:sz w:val="24"/>
          <w:szCs w:val="24"/>
        </w:rPr>
        <w:t>15</w:t>
      </w:r>
      <w:r>
        <w:rPr>
          <w:sz w:val="24"/>
          <w:szCs w:val="24"/>
        </w:rPr>
        <w:t>篇，中文期刊文章</w:t>
      </w:r>
      <w:r>
        <w:rPr>
          <w:rFonts w:hint="eastAsia"/>
          <w:sz w:val="24"/>
          <w:szCs w:val="24"/>
        </w:rPr>
        <w:t>2</w:t>
      </w:r>
      <w:r>
        <w:rPr>
          <w:sz w:val="24"/>
          <w:szCs w:val="24"/>
        </w:rPr>
        <w:t>篇。</w:t>
      </w:r>
    </w:p>
    <w:p w14:paraId="0A22B7C8">
      <w:pPr>
        <w:adjustRightInd w:val="0"/>
        <w:snapToGrid w:val="0"/>
        <w:spacing w:line="360" w:lineRule="exact"/>
        <w:ind w:firstLine="482" w:firstLineChars="200"/>
        <w:rPr>
          <w:sz w:val="24"/>
          <w:szCs w:val="24"/>
        </w:rPr>
      </w:pPr>
      <w:r>
        <w:rPr>
          <w:b/>
          <w:bCs/>
          <w:sz w:val="24"/>
          <w:szCs w:val="24"/>
        </w:rPr>
        <w:t>2.建立结直肠癌早期诊断的新方法：</w:t>
      </w:r>
      <w:r>
        <w:rPr>
          <w:rFonts w:hint="eastAsia"/>
          <w:b/>
          <w:bCs/>
          <w:sz w:val="24"/>
          <w:szCs w:val="24"/>
        </w:rPr>
        <w:t>（1）</w:t>
      </w:r>
      <w:r>
        <w:rPr>
          <w:sz w:val="24"/>
          <w:szCs w:val="24"/>
        </w:rPr>
        <w:t>本项目组利用16S-rRNA测序联合质谱检测患者粪便样本中的肠道菌群分布变化以及短链脂肪酸的含量，同时结合血液标记物检测，构建</w:t>
      </w:r>
      <w:r>
        <w:rPr>
          <w:rFonts w:hint="eastAsia"/>
          <w:sz w:val="24"/>
          <w:szCs w:val="24"/>
        </w:rPr>
        <w:t>了</w:t>
      </w:r>
      <w:r>
        <w:rPr>
          <w:sz w:val="24"/>
          <w:szCs w:val="24"/>
        </w:rPr>
        <w:t>评估结直肠癌</w:t>
      </w:r>
      <w:r>
        <w:rPr>
          <w:rFonts w:hint="eastAsia"/>
          <w:sz w:val="24"/>
          <w:szCs w:val="24"/>
        </w:rPr>
        <w:t>早期诊断的新方法</w:t>
      </w:r>
      <w:r>
        <w:rPr>
          <w:sz w:val="24"/>
          <w:szCs w:val="24"/>
        </w:rPr>
        <w:t>，</w:t>
      </w:r>
      <w:r>
        <w:rPr>
          <w:rFonts w:hint="eastAsia"/>
          <w:sz w:val="24"/>
          <w:szCs w:val="24"/>
        </w:rPr>
        <w:t>提高了对结直肠癌患者的早期诊断能力（敏感性67.96%，特异性89.29%）。成果发表于Front Cell Infect Microbiol，在多家三甲教学医院推广，获2023年江苏省医学新技术引进奖二等奖。</w:t>
      </w:r>
      <w:r>
        <w:rPr>
          <w:rFonts w:hint="eastAsia"/>
          <w:b/>
          <w:bCs/>
          <w:sz w:val="24"/>
          <w:szCs w:val="24"/>
        </w:rPr>
        <w:t>（2）</w:t>
      </w:r>
      <w:r>
        <w:rPr>
          <w:sz w:val="24"/>
          <w:szCs w:val="24"/>
        </w:rPr>
        <w:t>本项目组还首次建立了以EGFL-7、FOXM1等为靶标的在结直肠癌早期诊断中的检测方法，并进行临床运用，</w:t>
      </w:r>
      <w:r>
        <w:rPr>
          <w:rFonts w:hint="eastAsia"/>
          <w:sz w:val="24"/>
          <w:szCs w:val="24"/>
        </w:rPr>
        <w:t>这</w:t>
      </w:r>
      <w:r>
        <w:rPr>
          <w:sz w:val="24"/>
          <w:szCs w:val="24"/>
        </w:rPr>
        <w:t>两项成果分别获2017年、2018年江苏省医学新技术引进奖二等奖。发表SCI论文1</w:t>
      </w:r>
      <w:r>
        <w:rPr>
          <w:rFonts w:hint="eastAsia"/>
          <w:sz w:val="24"/>
          <w:szCs w:val="24"/>
        </w:rPr>
        <w:t>4</w:t>
      </w:r>
      <w:r>
        <w:rPr>
          <w:sz w:val="24"/>
          <w:szCs w:val="24"/>
        </w:rPr>
        <w:t>篇，中文期刊文章2篇。</w:t>
      </w:r>
    </w:p>
    <w:p w14:paraId="70F12854">
      <w:pPr>
        <w:adjustRightInd w:val="0"/>
        <w:snapToGrid w:val="0"/>
        <w:spacing w:line="360" w:lineRule="exact"/>
        <w:ind w:firstLine="482" w:firstLineChars="200"/>
        <w:rPr>
          <w:sz w:val="24"/>
          <w:szCs w:val="24"/>
          <w14:ligatures w14:val="standardContextual"/>
        </w:rPr>
      </w:pPr>
      <w:r>
        <w:rPr>
          <w:b/>
          <w:sz w:val="24"/>
          <w:szCs w:val="24"/>
          <w14:ligatures w14:val="standardContextual"/>
        </w:rPr>
        <w:t>3.</w:t>
      </w:r>
      <w:r>
        <w:rPr>
          <w:rFonts w:hint="eastAsia"/>
          <w:b/>
          <w:sz w:val="24"/>
          <w:szCs w:val="24"/>
          <w14:ligatures w14:val="standardContextual"/>
        </w:rPr>
        <w:t>医工结合：</w:t>
      </w:r>
      <w:r>
        <w:rPr>
          <w:b/>
          <w:sz w:val="24"/>
          <w:szCs w:val="24"/>
        </w:rPr>
        <w:t>开发人工智能结直肠癌影像判读</w:t>
      </w:r>
      <w:r>
        <w:rPr>
          <w:rFonts w:hint="eastAsia"/>
          <w:b/>
          <w:sz w:val="24"/>
          <w:szCs w:val="24"/>
        </w:rPr>
        <w:t>新模式和</w:t>
      </w:r>
      <w:r>
        <w:rPr>
          <w:b/>
          <w:sz w:val="24"/>
          <w:szCs w:val="24"/>
        </w:rPr>
        <w:t>结直肠癌腹腔镜手术</w:t>
      </w:r>
      <w:r>
        <w:rPr>
          <w:rFonts w:hint="eastAsia"/>
          <w:b/>
          <w:sz w:val="24"/>
          <w:szCs w:val="24"/>
        </w:rPr>
        <w:t>新装备</w:t>
      </w:r>
      <w:r>
        <w:rPr>
          <w:b/>
          <w:sz w:val="24"/>
          <w:szCs w:val="24"/>
        </w:rPr>
        <w:t>：</w:t>
      </w:r>
      <w:bookmarkStart w:id="6" w:name="_Hlk162877882"/>
      <w:r>
        <w:rPr>
          <w:b/>
          <w:bCs/>
          <w:sz w:val="24"/>
          <w:szCs w:val="24"/>
        </w:rPr>
        <w:t>（1）</w:t>
      </w:r>
      <w:r>
        <w:rPr>
          <w:sz w:val="24"/>
          <w:szCs w:val="24"/>
        </w:rPr>
        <w:t>开发了一种新的结直肠癌磁共振影像</w:t>
      </w:r>
      <w:bookmarkEnd w:id="6"/>
      <w:r>
        <w:rPr>
          <w:rFonts w:hint="eastAsia"/>
          <w:sz w:val="24"/>
          <w:szCs w:val="24"/>
        </w:rPr>
        <w:t>判读</w:t>
      </w:r>
      <w:r>
        <w:rPr>
          <w:sz w:val="24"/>
          <w:szCs w:val="24"/>
        </w:rPr>
        <w:t>肿瘤自动分</w:t>
      </w:r>
      <w:r>
        <w:rPr>
          <w:rFonts w:hint="eastAsia"/>
          <w:sz w:val="24"/>
          <w:szCs w:val="24"/>
        </w:rPr>
        <w:t>割新模式</w:t>
      </w:r>
      <w:r>
        <w:rPr>
          <w:sz w:val="24"/>
          <w:szCs w:val="24"/>
        </w:rPr>
        <w:t>。该</w:t>
      </w:r>
      <w:r>
        <w:rPr>
          <w:rFonts w:hint="eastAsia"/>
          <w:sz w:val="24"/>
          <w:szCs w:val="24"/>
        </w:rPr>
        <w:t>新模式Dice相似系数、阳性预测值、特异性、敏感度、Hammoude距离、Hausdorff距离分别为83.56、82.67、96.75、87.85%、0.2694、8.20，优于之前报道的U-net方法，</w:t>
      </w:r>
      <w:r>
        <w:rPr>
          <w:sz w:val="24"/>
          <w:szCs w:val="24"/>
        </w:rPr>
        <w:t>是术前分期和治疗评估的基础</w:t>
      </w:r>
      <w:r>
        <w:rPr>
          <w:rFonts w:hint="eastAsia"/>
          <w:sz w:val="24"/>
          <w:szCs w:val="24"/>
        </w:rPr>
        <w:t>，</w:t>
      </w:r>
      <w:r>
        <w:rPr>
          <w:sz w:val="24"/>
          <w:szCs w:val="24"/>
        </w:rPr>
        <w:t>可取代耗时且不可重复的人工分割方法。</w:t>
      </w:r>
      <w:r>
        <w:rPr>
          <w:b/>
          <w:bCs/>
          <w:sz w:val="24"/>
          <w:szCs w:val="24"/>
        </w:rPr>
        <w:t>（2）</w:t>
      </w:r>
      <w:r>
        <w:rPr>
          <w:rFonts w:hint="eastAsia"/>
          <w:sz w:val="24"/>
          <w:szCs w:val="24"/>
        </w:rPr>
        <w:t>开发</w:t>
      </w:r>
      <w:r>
        <w:rPr>
          <w:sz w:val="24"/>
          <w:szCs w:val="24"/>
        </w:rPr>
        <w:t>了一种</w:t>
      </w:r>
      <w:bookmarkStart w:id="7" w:name="_Hlk166084414"/>
      <w:r>
        <w:rPr>
          <w:rFonts w:hint="eastAsia"/>
          <w:sz w:val="24"/>
          <w:szCs w:val="24"/>
        </w:rPr>
        <w:t>结直肠癌</w:t>
      </w:r>
      <w:r>
        <w:rPr>
          <w:sz w:val="24"/>
          <w:szCs w:val="24"/>
        </w:rPr>
        <w:t>腹腔镜手术自动扶镜臂新</w:t>
      </w:r>
      <w:r>
        <w:rPr>
          <w:rFonts w:hint="eastAsia"/>
          <w:sz w:val="24"/>
          <w:szCs w:val="24"/>
        </w:rPr>
        <w:t>装备</w:t>
      </w:r>
      <w:r>
        <w:rPr>
          <w:sz w:val="24"/>
          <w:szCs w:val="24"/>
        </w:rPr>
        <w:t>。该</w:t>
      </w:r>
      <w:r>
        <w:rPr>
          <w:rFonts w:hint="eastAsia"/>
          <w:sz w:val="24"/>
          <w:szCs w:val="24"/>
        </w:rPr>
        <w:t>新装备</w:t>
      </w:r>
      <w:r>
        <w:rPr>
          <w:sz w:val="24"/>
          <w:szCs w:val="24"/>
        </w:rPr>
        <w:t>可实现术中腹腔镜在无标记前提下对主刀操作的准确、快速跟踪，</w:t>
      </w:r>
      <w:bookmarkEnd w:id="7"/>
      <w:r>
        <w:rPr>
          <w:rFonts w:hint="eastAsia"/>
          <w:sz w:val="24"/>
        </w:rPr>
        <w:t>跟踪成功率为100%，跟踪精度（3.9±2.4，4.0±2.5）像素，跟踪速度15帧/秒。与既往报道的跟踪框架相比，平均跟踪精度提高了37%，实现真正意义上的人机协作，避免主刀医生与扶镜手之间的低效协调。以上成果</w:t>
      </w:r>
      <w:r>
        <w:rPr>
          <w:sz w:val="24"/>
          <w:szCs w:val="24"/>
        </w:rPr>
        <w:t>在国内多家三</w:t>
      </w:r>
      <w:r>
        <w:rPr>
          <w:rFonts w:hint="eastAsia"/>
          <w:sz w:val="24"/>
          <w:szCs w:val="24"/>
        </w:rPr>
        <w:t>甲</w:t>
      </w:r>
      <w:r>
        <w:rPr>
          <w:sz w:val="24"/>
          <w:szCs w:val="24"/>
        </w:rPr>
        <w:t>医院试用，取得良好的效果。发表SCI论文2篇，中文期刊文章1篇。</w:t>
      </w:r>
    </w:p>
    <w:p w14:paraId="7D56D741">
      <w:pPr>
        <w:adjustRightInd w:val="0"/>
        <w:snapToGrid w:val="0"/>
        <w:spacing w:line="360" w:lineRule="exact"/>
        <w:ind w:firstLine="482" w:firstLineChars="200"/>
        <w:rPr>
          <w:sz w:val="24"/>
          <w:szCs w:val="24"/>
        </w:rPr>
      </w:pPr>
      <w:r>
        <w:rPr>
          <w:b/>
          <w:bCs/>
          <w:sz w:val="24"/>
          <w:szCs w:val="24"/>
        </w:rPr>
        <w:t>综上所述，</w:t>
      </w:r>
      <w:r>
        <w:rPr>
          <w:sz w:val="24"/>
          <w:szCs w:val="24"/>
        </w:rPr>
        <w:t>本项目共发表SCI论文</w:t>
      </w:r>
      <w:r>
        <w:rPr>
          <w:rFonts w:hint="eastAsia"/>
          <w:sz w:val="24"/>
          <w:szCs w:val="24"/>
        </w:rPr>
        <w:t>31</w:t>
      </w:r>
      <w:r>
        <w:rPr>
          <w:sz w:val="24"/>
          <w:szCs w:val="24"/>
        </w:rPr>
        <w:t>篇，中文期刊文章</w:t>
      </w:r>
      <w:r>
        <w:rPr>
          <w:rFonts w:hint="eastAsia"/>
          <w:sz w:val="24"/>
          <w:szCs w:val="24"/>
        </w:rPr>
        <w:t>5</w:t>
      </w:r>
      <w:r>
        <w:rPr>
          <w:sz w:val="24"/>
          <w:szCs w:val="24"/>
        </w:rPr>
        <w:t>篇。10篇代表作被他引</w:t>
      </w:r>
      <w:r>
        <w:rPr>
          <w:rFonts w:hint="eastAsia"/>
          <w:sz w:val="24"/>
          <w:szCs w:val="24"/>
        </w:rPr>
        <w:t>359</w:t>
      </w:r>
      <w:r>
        <w:rPr>
          <w:sz w:val="24"/>
          <w:szCs w:val="24"/>
        </w:rPr>
        <w:t>篇次。获国家发明专利</w:t>
      </w:r>
      <w:r>
        <w:rPr>
          <w:rFonts w:hint="eastAsia"/>
          <w:sz w:val="24"/>
          <w:szCs w:val="24"/>
        </w:rPr>
        <w:t>3</w:t>
      </w:r>
      <w:r>
        <w:rPr>
          <w:sz w:val="24"/>
          <w:szCs w:val="24"/>
        </w:rPr>
        <w:t>项。获得江苏省卫健委新技术引进奖二等奖3项、</w:t>
      </w:r>
      <w:r>
        <w:rPr>
          <w:sz w:val="24"/>
        </w:rPr>
        <w:t>江苏医学科技奖二等奖1项、</w:t>
      </w:r>
      <w:bookmarkStart w:id="8" w:name="_Hlk165581641"/>
      <w:r>
        <w:rPr>
          <w:sz w:val="24"/>
          <w:szCs w:val="24"/>
        </w:rPr>
        <w:t>苏州市优秀论文一等奖1项。</w:t>
      </w:r>
      <w:bookmarkEnd w:id="8"/>
      <w:r>
        <w:rPr>
          <w:sz w:val="24"/>
          <w:szCs w:val="24"/>
        </w:rPr>
        <w:t>临床研究成果在国内多家三级医院推广，取得了良好的社会效益</w:t>
      </w:r>
      <w:bookmarkEnd w:id="2"/>
      <w:r>
        <w:rPr>
          <w:rFonts w:hint="eastAsia"/>
          <w:sz w:val="24"/>
          <w:szCs w:val="24"/>
        </w:rPr>
        <w:t>，</w:t>
      </w:r>
      <w:r>
        <w:rPr>
          <w:rFonts w:hint="eastAsia" w:ascii="宋体" w:hAnsi="等线" w:cs="宋体"/>
          <w:kern w:val="0"/>
          <w:sz w:val="24"/>
          <w:szCs w:val="24"/>
        </w:rPr>
        <w:t>推动了结直肠癌免疫治疗机制的认识和诊疗技术的发展。</w:t>
      </w:r>
    </w:p>
    <w:bookmarkEnd w:id="3"/>
    <w:p w14:paraId="7797B795">
      <w:pPr>
        <w:adjustRightInd w:val="0"/>
        <w:snapToGrid w:val="0"/>
        <w:spacing w:line="600" w:lineRule="exact"/>
        <w:ind w:firstLine="482" w:firstLineChars="200"/>
        <w:rPr>
          <w:b/>
          <w:sz w:val="28"/>
          <w:szCs w:val="28"/>
        </w:rPr>
      </w:pPr>
      <w:r>
        <w:rPr>
          <w:rFonts w:hint="eastAsia"/>
          <w:b/>
          <w:color w:val="000000"/>
          <w:sz w:val="24"/>
          <w:szCs w:val="24"/>
        </w:rPr>
        <w:t>六、代表性论文目录</w:t>
      </w:r>
      <w:bookmarkEnd w:id="1"/>
    </w:p>
    <w:tbl>
      <w:tblPr>
        <w:tblStyle w:val="5"/>
        <w:tblpPr w:leftFromText="180" w:rightFromText="180" w:vertAnchor="text" w:horzAnchor="page" w:tblpX="1163" w:tblpY="631"/>
        <w:tblOverlap w:val="never"/>
        <w:tblW w:w="7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776"/>
        <w:gridCol w:w="1630"/>
        <w:gridCol w:w="1256"/>
        <w:gridCol w:w="738"/>
        <w:gridCol w:w="784"/>
      </w:tblGrid>
      <w:tr w14:paraId="0670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56" w:type="dxa"/>
            <w:vAlign w:val="center"/>
          </w:tcPr>
          <w:p w14:paraId="126AB40F">
            <w:pPr>
              <w:adjustRightInd w:val="0"/>
              <w:snapToGrid w:val="0"/>
              <w:jc w:val="center"/>
              <w:rPr>
                <w:rFonts w:eastAsia="仿宋"/>
                <w:bCs/>
                <w:sz w:val="24"/>
                <w:szCs w:val="24"/>
              </w:rPr>
            </w:pPr>
            <w:r>
              <w:rPr>
                <w:rFonts w:eastAsia="仿宋"/>
                <w:bCs/>
                <w:sz w:val="24"/>
                <w:szCs w:val="24"/>
              </w:rPr>
              <w:t>序号</w:t>
            </w:r>
          </w:p>
        </w:tc>
        <w:tc>
          <w:tcPr>
            <w:tcW w:w="2133" w:type="dxa"/>
            <w:vAlign w:val="center"/>
          </w:tcPr>
          <w:p w14:paraId="228A70B4">
            <w:pPr>
              <w:adjustRightInd w:val="0"/>
              <w:snapToGrid w:val="0"/>
              <w:jc w:val="center"/>
              <w:rPr>
                <w:rFonts w:eastAsia="仿宋"/>
                <w:bCs/>
                <w:sz w:val="24"/>
                <w:szCs w:val="24"/>
              </w:rPr>
            </w:pPr>
            <w:r>
              <w:rPr>
                <w:rFonts w:eastAsia="仿宋"/>
                <w:bCs/>
                <w:sz w:val="24"/>
                <w:szCs w:val="24"/>
              </w:rPr>
              <w:t>论文名称/作者</w:t>
            </w:r>
          </w:p>
        </w:tc>
        <w:tc>
          <w:tcPr>
            <w:tcW w:w="1630" w:type="dxa"/>
            <w:vAlign w:val="center"/>
          </w:tcPr>
          <w:p w14:paraId="34126748">
            <w:pPr>
              <w:adjustRightInd w:val="0"/>
              <w:snapToGrid w:val="0"/>
              <w:jc w:val="center"/>
              <w:rPr>
                <w:rFonts w:eastAsia="仿宋"/>
                <w:bCs/>
                <w:sz w:val="24"/>
                <w:szCs w:val="24"/>
              </w:rPr>
            </w:pPr>
            <w:r>
              <w:rPr>
                <w:rFonts w:eastAsia="仿宋"/>
                <w:bCs/>
                <w:sz w:val="24"/>
                <w:szCs w:val="24"/>
              </w:rPr>
              <w:t>刊名</w:t>
            </w:r>
          </w:p>
        </w:tc>
        <w:tc>
          <w:tcPr>
            <w:tcW w:w="983" w:type="dxa"/>
            <w:vAlign w:val="center"/>
          </w:tcPr>
          <w:p w14:paraId="41111058">
            <w:pPr>
              <w:adjustRightInd w:val="0"/>
              <w:snapToGrid w:val="0"/>
              <w:jc w:val="center"/>
              <w:rPr>
                <w:rFonts w:eastAsia="仿宋"/>
                <w:bCs/>
                <w:sz w:val="24"/>
                <w:szCs w:val="24"/>
              </w:rPr>
            </w:pPr>
            <w:r>
              <w:rPr>
                <w:rFonts w:eastAsia="仿宋"/>
                <w:bCs/>
                <w:sz w:val="24"/>
                <w:szCs w:val="24"/>
              </w:rPr>
              <w:t>年卷页码</w:t>
            </w:r>
          </w:p>
          <w:p w14:paraId="46ACDBFB">
            <w:pPr>
              <w:adjustRightInd w:val="0"/>
              <w:snapToGrid w:val="0"/>
              <w:jc w:val="center"/>
              <w:rPr>
                <w:rFonts w:eastAsia="仿宋"/>
                <w:bCs/>
                <w:sz w:val="24"/>
                <w:szCs w:val="24"/>
              </w:rPr>
            </w:pPr>
            <w:r>
              <w:rPr>
                <w:rFonts w:eastAsia="仿宋"/>
                <w:bCs/>
                <w:sz w:val="24"/>
                <w:szCs w:val="24"/>
              </w:rPr>
              <w:t>(xx年xx</w:t>
            </w:r>
            <w:r>
              <w:rPr>
                <w:rFonts w:hint="eastAsia" w:eastAsia="仿宋"/>
                <w:bCs/>
                <w:sz w:val="24"/>
                <w:szCs w:val="24"/>
              </w:rPr>
              <w:t>卷</w:t>
            </w:r>
            <w:r>
              <w:rPr>
                <w:rFonts w:eastAsia="仿宋"/>
                <w:bCs/>
                <w:sz w:val="24"/>
                <w:szCs w:val="24"/>
              </w:rPr>
              <w:t>xx页</w:t>
            </w:r>
            <w:r>
              <w:rPr>
                <w:rFonts w:hint="eastAsia" w:eastAsia="仿宋"/>
                <w:bCs/>
                <w:sz w:val="24"/>
                <w:szCs w:val="24"/>
              </w:rPr>
              <w:t>)</w:t>
            </w:r>
          </w:p>
        </w:tc>
        <w:tc>
          <w:tcPr>
            <w:tcW w:w="1035" w:type="dxa"/>
            <w:vAlign w:val="center"/>
          </w:tcPr>
          <w:p w14:paraId="7080081E">
            <w:pPr>
              <w:adjustRightInd w:val="0"/>
              <w:snapToGrid w:val="0"/>
              <w:jc w:val="center"/>
              <w:rPr>
                <w:rFonts w:eastAsia="仿宋"/>
                <w:bCs/>
                <w:sz w:val="24"/>
                <w:szCs w:val="24"/>
              </w:rPr>
            </w:pPr>
            <w:r>
              <w:rPr>
                <w:rFonts w:eastAsia="仿宋"/>
                <w:bCs/>
                <w:sz w:val="24"/>
                <w:szCs w:val="24"/>
              </w:rPr>
              <w:t>通讯作者</w:t>
            </w:r>
            <w:r>
              <w:rPr>
                <w:rFonts w:hint="eastAsia" w:eastAsia="仿宋"/>
                <w:bCs/>
                <w:sz w:val="24"/>
                <w:szCs w:val="24"/>
              </w:rPr>
              <w:t>(</w:t>
            </w:r>
            <w:r>
              <w:rPr>
                <w:rFonts w:eastAsia="仿宋"/>
                <w:bCs/>
                <w:sz w:val="24"/>
                <w:szCs w:val="24"/>
              </w:rPr>
              <w:t>含共同</w:t>
            </w:r>
            <w:r>
              <w:rPr>
                <w:rFonts w:hint="eastAsia" w:eastAsia="仿宋"/>
                <w:bCs/>
                <w:sz w:val="24"/>
                <w:szCs w:val="24"/>
              </w:rPr>
              <w:t>)</w:t>
            </w:r>
          </w:p>
        </w:tc>
        <w:tc>
          <w:tcPr>
            <w:tcW w:w="1403" w:type="dxa"/>
            <w:vAlign w:val="center"/>
          </w:tcPr>
          <w:p w14:paraId="7AC4623A">
            <w:pPr>
              <w:adjustRightInd w:val="0"/>
              <w:snapToGrid w:val="0"/>
              <w:jc w:val="center"/>
              <w:rPr>
                <w:rFonts w:eastAsia="仿宋"/>
                <w:bCs/>
                <w:sz w:val="24"/>
                <w:szCs w:val="24"/>
              </w:rPr>
            </w:pPr>
            <w:r>
              <w:rPr>
                <w:rFonts w:hint="eastAsia" w:eastAsia="仿宋"/>
                <w:bCs/>
                <w:sz w:val="24"/>
                <w:szCs w:val="24"/>
              </w:rPr>
              <w:t>第一作者(含共同)</w:t>
            </w:r>
          </w:p>
        </w:tc>
      </w:tr>
      <w:tr w14:paraId="5660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6" w:type="dxa"/>
            <w:vAlign w:val="center"/>
          </w:tcPr>
          <w:p w14:paraId="1D298219">
            <w:pPr>
              <w:adjustRightInd w:val="0"/>
              <w:snapToGrid w:val="0"/>
              <w:jc w:val="center"/>
              <w:rPr>
                <w:rFonts w:eastAsia="仿宋"/>
                <w:bCs/>
                <w:sz w:val="24"/>
                <w:szCs w:val="24"/>
              </w:rPr>
            </w:pPr>
            <w:r>
              <w:rPr>
                <w:rFonts w:hint="eastAsia" w:eastAsia="仿宋"/>
                <w:bCs/>
                <w:sz w:val="24"/>
                <w:szCs w:val="24"/>
              </w:rPr>
              <w:t>1</w:t>
            </w:r>
          </w:p>
        </w:tc>
        <w:tc>
          <w:tcPr>
            <w:tcW w:w="2133" w:type="dxa"/>
            <w:vAlign w:val="center"/>
          </w:tcPr>
          <w:p w14:paraId="5C70CCED">
            <w:pPr>
              <w:adjustRightInd w:val="0"/>
              <w:snapToGrid w:val="0"/>
              <w:jc w:val="center"/>
              <w:rPr>
                <w:rFonts w:eastAsia="仿宋"/>
                <w:bCs/>
                <w:sz w:val="24"/>
                <w:szCs w:val="24"/>
              </w:rPr>
            </w:pPr>
            <w:r>
              <w:rPr>
                <w:rFonts w:eastAsia="仿宋"/>
                <w:bCs/>
                <w:sz w:val="24"/>
                <w:szCs w:val="24"/>
              </w:rPr>
              <w:t>IL-36β promotes CD8+ T cell activation and antitumor immune responses by activating mTORC1</w:t>
            </w:r>
          </w:p>
        </w:tc>
        <w:tc>
          <w:tcPr>
            <w:tcW w:w="1630" w:type="dxa"/>
            <w:vAlign w:val="center"/>
          </w:tcPr>
          <w:p w14:paraId="6E7283C0">
            <w:pPr>
              <w:adjustRightInd w:val="0"/>
              <w:snapToGrid w:val="0"/>
              <w:jc w:val="center"/>
              <w:rPr>
                <w:rFonts w:eastAsia="仿宋"/>
                <w:bCs/>
                <w:sz w:val="24"/>
                <w:szCs w:val="24"/>
              </w:rPr>
            </w:pPr>
            <w:r>
              <w:rPr>
                <w:rFonts w:eastAsia="仿宋"/>
                <w:bCs/>
                <w:sz w:val="24"/>
                <w:szCs w:val="24"/>
              </w:rPr>
              <w:t>Frontiers in Immunology</w:t>
            </w:r>
          </w:p>
        </w:tc>
        <w:tc>
          <w:tcPr>
            <w:tcW w:w="983" w:type="dxa"/>
            <w:vAlign w:val="center"/>
          </w:tcPr>
          <w:p w14:paraId="3A354CEB">
            <w:pPr>
              <w:adjustRightInd w:val="0"/>
              <w:snapToGrid w:val="0"/>
              <w:jc w:val="center"/>
              <w:rPr>
                <w:rFonts w:eastAsia="仿宋"/>
                <w:bCs/>
                <w:sz w:val="24"/>
                <w:szCs w:val="24"/>
              </w:rPr>
            </w:pPr>
            <w:r>
              <w:rPr>
                <w:rFonts w:eastAsia="仿宋"/>
                <w:bCs/>
                <w:sz w:val="24"/>
                <w:szCs w:val="24"/>
              </w:rPr>
              <w:t>2019</w:t>
            </w:r>
            <w:r>
              <w:rPr>
                <w:rFonts w:hint="eastAsia" w:eastAsia="仿宋"/>
                <w:bCs/>
                <w:sz w:val="24"/>
                <w:szCs w:val="24"/>
              </w:rPr>
              <w:t>年</w:t>
            </w:r>
            <w:r>
              <w:rPr>
                <w:rFonts w:eastAsia="仿宋"/>
                <w:bCs/>
                <w:sz w:val="24"/>
                <w:szCs w:val="24"/>
              </w:rPr>
              <w:t>10</w:t>
            </w:r>
            <w:r>
              <w:rPr>
                <w:rFonts w:hint="eastAsia" w:eastAsia="仿宋"/>
                <w:bCs/>
                <w:sz w:val="24"/>
                <w:szCs w:val="24"/>
              </w:rPr>
              <w:t>卷</w:t>
            </w:r>
            <w:r>
              <w:rPr>
                <w:rFonts w:eastAsia="仿宋"/>
                <w:bCs/>
                <w:sz w:val="24"/>
                <w:szCs w:val="24"/>
              </w:rPr>
              <w:t>1803</w:t>
            </w:r>
            <w:r>
              <w:rPr>
                <w:rFonts w:hint="eastAsia" w:eastAsia="仿宋"/>
                <w:bCs/>
                <w:sz w:val="24"/>
                <w:szCs w:val="24"/>
              </w:rPr>
              <w:t>页</w:t>
            </w:r>
          </w:p>
        </w:tc>
        <w:tc>
          <w:tcPr>
            <w:tcW w:w="1035" w:type="dxa"/>
            <w:vAlign w:val="center"/>
          </w:tcPr>
          <w:p w14:paraId="29D4AA11">
            <w:pPr>
              <w:adjustRightInd w:val="0"/>
              <w:snapToGrid w:val="0"/>
              <w:jc w:val="center"/>
              <w:rPr>
                <w:rFonts w:eastAsia="仿宋"/>
                <w:bCs/>
                <w:sz w:val="24"/>
                <w:szCs w:val="24"/>
              </w:rPr>
            </w:pPr>
            <w:r>
              <w:rPr>
                <w:rFonts w:hint="eastAsia" w:eastAsia="仿宋"/>
                <w:bCs/>
                <w:sz w:val="24"/>
                <w:szCs w:val="24"/>
              </w:rPr>
              <w:t>卢斌峰、王雪峰</w:t>
            </w:r>
          </w:p>
        </w:tc>
        <w:tc>
          <w:tcPr>
            <w:tcW w:w="1403" w:type="dxa"/>
            <w:vAlign w:val="center"/>
          </w:tcPr>
          <w:p w14:paraId="5E8D07B8">
            <w:pPr>
              <w:adjustRightInd w:val="0"/>
              <w:snapToGrid w:val="0"/>
              <w:jc w:val="center"/>
              <w:rPr>
                <w:rFonts w:eastAsia="仿宋"/>
                <w:bCs/>
                <w:sz w:val="24"/>
                <w:szCs w:val="24"/>
              </w:rPr>
            </w:pPr>
            <w:r>
              <w:rPr>
                <w:rFonts w:hint="eastAsia" w:eastAsia="仿宋"/>
                <w:bCs/>
                <w:sz w:val="24"/>
                <w:szCs w:val="24"/>
              </w:rPr>
              <w:t>赵鑫、陈小娟、沈兴华、唐佩军陈晨</w:t>
            </w:r>
          </w:p>
        </w:tc>
      </w:tr>
      <w:tr w14:paraId="5623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6" w:type="dxa"/>
            <w:vAlign w:val="center"/>
          </w:tcPr>
          <w:p w14:paraId="61FA4C08">
            <w:pPr>
              <w:adjustRightInd w:val="0"/>
              <w:snapToGrid w:val="0"/>
              <w:jc w:val="center"/>
              <w:rPr>
                <w:rFonts w:eastAsia="仿宋"/>
                <w:bCs/>
                <w:sz w:val="24"/>
                <w:szCs w:val="24"/>
              </w:rPr>
            </w:pPr>
            <w:r>
              <w:rPr>
                <w:rFonts w:hint="eastAsia" w:eastAsia="仿宋"/>
                <w:bCs/>
                <w:sz w:val="24"/>
                <w:szCs w:val="24"/>
              </w:rPr>
              <w:t>2</w:t>
            </w:r>
          </w:p>
        </w:tc>
        <w:tc>
          <w:tcPr>
            <w:tcW w:w="2133" w:type="dxa"/>
            <w:vAlign w:val="center"/>
          </w:tcPr>
          <w:p w14:paraId="5A43AE10">
            <w:pPr>
              <w:adjustRightInd w:val="0"/>
              <w:snapToGrid w:val="0"/>
              <w:jc w:val="center"/>
              <w:rPr>
                <w:rFonts w:eastAsia="仿宋"/>
                <w:bCs/>
                <w:sz w:val="24"/>
                <w:szCs w:val="24"/>
              </w:rPr>
            </w:pPr>
            <w:r>
              <w:rPr>
                <w:rFonts w:eastAsia="仿宋"/>
                <w:bCs/>
                <w:sz w:val="24"/>
                <w:szCs w:val="24"/>
              </w:rPr>
              <w:t>Tumoral expression of IL-33 inhibits tumor growth and modifies the tumor microenvironment through CD8+ T and NK cells</w:t>
            </w:r>
          </w:p>
        </w:tc>
        <w:tc>
          <w:tcPr>
            <w:tcW w:w="1630" w:type="dxa"/>
            <w:vAlign w:val="center"/>
          </w:tcPr>
          <w:p w14:paraId="71798FE0">
            <w:pPr>
              <w:adjustRightInd w:val="0"/>
              <w:snapToGrid w:val="0"/>
              <w:jc w:val="center"/>
              <w:rPr>
                <w:rFonts w:eastAsia="仿宋"/>
                <w:bCs/>
                <w:sz w:val="24"/>
                <w:szCs w:val="24"/>
              </w:rPr>
            </w:pPr>
            <w:r>
              <w:rPr>
                <w:rFonts w:eastAsia="仿宋"/>
                <w:bCs/>
                <w:sz w:val="24"/>
                <w:szCs w:val="24"/>
              </w:rPr>
              <w:t>Journal of Immunology</w:t>
            </w:r>
          </w:p>
        </w:tc>
        <w:tc>
          <w:tcPr>
            <w:tcW w:w="983" w:type="dxa"/>
            <w:vAlign w:val="center"/>
          </w:tcPr>
          <w:p w14:paraId="5F916C13">
            <w:pPr>
              <w:adjustRightInd w:val="0"/>
              <w:snapToGrid w:val="0"/>
              <w:jc w:val="center"/>
              <w:rPr>
                <w:rFonts w:eastAsia="仿宋"/>
                <w:bCs/>
                <w:sz w:val="24"/>
                <w:szCs w:val="24"/>
              </w:rPr>
            </w:pPr>
            <w:r>
              <w:rPr>
                <w:rFonts w:hint="eastAsia" w:eastAsia="仿宋"/>
                <w:bCs/>
                <w:sz w:val="24"/>
                <w:szCs w:val="24"/>
              </w:rPr>
              <w:t>2015年194卷438-445页</w:t>
            </w:r>
          </w:p>
        </w:tc>
        <w:tc>
          <w:tcPr>
            <w:tcW w:w="1035" w:type="dxa"/>
            <w:vAlign w:val="center"/>
          </w:tcPr>
          <w:p w14:paraId="68EBFDBA">
            <w:pPr>
              <w:adjustRightInd w:val="0"/>
              <w:snapToGrid w:val="0"/>
              <w:jc w:val="center"/>
              <w:rPr>
                <w:rFonts w:eastAsia="仿宋"/>
                <w:bCs/>
                <w:sz w:val="24"/>
                <w:szCs w:val="24"/>
              </w:rPr>
            </w:pPr>
            <w:r>
              <w:rPr>
                <w:rFonts w:hint="eastAsia" w:eastAsia="仿宋"/>
                <w:bCs/>
                <w:sz w:val="24"/>
                <w:szCs w:val="24"/>
              </w:rPr>
              <w:t>朱一蓓、卢斌峰</w:t>
            </w:r>
          </w:p>
        </w:tc>
        <w:tc>
          <w:tcPr>
            <w:tcW w:w="1403" w:type="dxa"/>
            <w:vAlign w:val="center"/>
          </w:tcPr>
          <w:p w14:paraId="4071A6D5">
            <w:pPr>
              <w:adjustRightInd w:val="0"/>
              <w:snapToGrid w:val="0"/>
              <w:jc w:val="center"/>
              <w:rPr>
                <w:rFonts w:eastAsia="仿宋"/>
                <w:bCs/>
                <w:sz w:val="24"/>
                <w:szCs w:val="24"/>
              </w:rPr>
            </w:pPr>
            <w:r>
              <w:rPr>
                <w:rFonts w:hint="eastAsia" w:eastAsia="仿宋"/>
                <w:bCs/>
                <w:sz w:val="24"/>
                <w:szCs w:val="24"/>
              </w:rPr>
              <w:t>高鑫、王雪峰、杨倩婷</w:t>
            </w:r>
          </w:p>
        </w:tc>
      </w:tr>
      <w:tr w14:paraId="3BD5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6" w:type="dxa"/>
            <w:vAlign w:val="center"/>
          </w:tcPr>
          <w:p w14:paraId="43577E02">
            <w:pPr>
              <w:adjustRightInd w:val="0"/>
              <w:snapToGrid w:val="0"/>
              <w:jc w:val="center"/>
              <w:rPr>
                <w:rFonts w:eastAsia="仿宋"/>
                <w:bCs/>
                <w:sz w:val="24"/>
                <w:szCs w:val="24"/>
              </w:rPr>
            </w:pPr>
            <w:r>
              <w:rPr>
                <w:rFonts w:hint="eastAsia" w:eastAsia="仿宋"/>
                <w:bCs/>
                <w:sz w:val="24"/>
                <w:szCs w:val="24"/>
              </w:rPr>
              <w:t>3</w:t>
            </w:r>
          </w:p>
        </w:tc>
        <w:tc>
          <w:tcPr>
            <w:tcW w:w="2133" w:type="dxa"/>
            <w:vAlign w:val="center"/>
          </w:tcPr>
          <w:p w14:paraId="0E89E992">
            <w:pPr>
              <w:adjustRightInd w:val="0"/>
              <w:snapToGrid w:val="0"/>
              <w:jc w:val="center"/>
              <w:rPr>
                <w:rFonts w:eastAsia="仿宋"/>
                <w:bCs/>
                <w:sz w:val="24"/>
                <w:szCs w:val="24"/>
                <w:highlight w:val="yellow"/>
              </w:rPr>
            </w:pPr>
            <w:r>
              <w:rPr>
                <w:rFonts w:eastAsia="仿宋"/>
                <w:bCs/>
                <w:sz w:val="24"/>
                <w:szCs w:val="24"/>
              </w:rPr>
              <w:t>IL-9 exerts antitumor effects in colon cancer and transforms the tumor microenvironment in vivo</w:t>
            </w:r>
          </w:p>
        </w:tc>
        <w:tc>
          <w:tcPr>
            <w:tcW w:w="1630" w:type="dxa"/>
            <w:vAlign w:val="center"/>
          </w:tcPr>
          <w:p w14:paraId="5BD24D85">
            <w:pPr>
              <w:adjustRightInd w:val="0"/>
              <w:snapToGrid w:val="0"/>
              <w:jc w:val="center"/>
              <w:rPr>
                <w:rFonts w:eastAsia="仿宋"/>
                <w:bCs/>
                <w:sz w:val="24"/>
                <w:szCs w:val="24"/>
                <w:highlight w:val="yellow"/>
              </w:rPr>
            </w:pPr>
            <w:r>
              <w:rPr>
                <w:rFonts w:eastAsia="仿宋"/>
                <w:bCs/>
                <w:sz w:val="24"/>
                <w:szCs w:val="24"/>
              </w:rPr>
              <w:t>Technology in Cancer Research &amp; Treatment</w:t>
            </w:r>
          </w:p>
        </w:tc>
        <w:tc>
          <w:tcPr>
            <w:tcW w:w="983" w:type="dxa"/>
            <w:vAlign w:val="center"/>
          </w:tcPr>
          <w:p w14:paraId="2DF4CC19">
            <w:pPr>
              <w:adjustRightInd w:val="0"/>
              <w:snapToGrid w:val="0"/>
              <w:jc w:val="center"/>
              <w:rPr>
                <w:rFonts w:eastAsia="仿宋"/>
                <w:bCs/>
                <w:sz w:val="24"/>
                <w:szCs w:val="24"/>
              </w:rPr>
            </w:pPr>
            <w:r>
              <w:rPr>
                <w:rFonts w:hint="eastAsia" w:eastAsia="仿宋"/>
                <w:bCs/>
                <w:sz w:val="24"/>
                <w:szCs w:val="24"/>
              </w:rPr>
              <w:t>2019年6卷1-13页</w:t>
            </w:r>
          </w:p>
        </w:tc>
        <w:tc>
          <w:tcPr>
            <w:tcW w:w="1035" w:type="dxa"/>
            <w:vAlign w:val="center"/>
          </w:tcPr>
          <w:p w14:paraId="23469A53">
            <w:pPr>
              <w:adjustRightInd w:val="0"/>
              <w:snapToGrid w:val="0"/>
              <w:jc w:val="center"/>
              <w:rPr>
                <w:rFonts w:eastAsia="仿宋"/>
                <w:bCs/>
                <w:sz w:val="24"/>
                <w:szCs w:val="24"/>
              </w:rPr>
            </w:pPr>
          </w:p>
          <w:p w14:paraId="6859FEFC">
            <w:pPr>
              <w:adjustRightInd w:val="0"/>
              <w:snapToGrid w:val="0"/>
              <w:jc w:val="center"/>
              <w:rPr>
                <w:rFonts w:eastAsia="仿宋"/>
                <w:bCs/>
                <w:sz w:val="24"/>
                <w:szCs w:val="24"/>
              </w:rPr>
            </w:pPr>
            <w:r>
              <w:rPr>
                <w:rFonts w:hint="eastAsia" w:eastAsia="仿宋"/>
                <w:bCs/>
                <w:sz w:val="24"/>
                <w:szCs w:val="24"/>
              </w:rPr>
              <w:t>赵鑫、董晓强、朱新国</w:t>
            </w:r>
          </w:p>
        </w:tc>
        <w:tc>
          <w:tcPr>
            <w:tcW w:w="1403" w:type="dxa"/>
            <w:vAlign w:val="center"/>
          </w:tcPr>
          <w:p w14:paraId="5F97EC3A">
            <w:pPr>
              <w:adjustRightInd w:val="0"/>
              <w:snapToGrid w:val="0"/>
              <w:jc w:val="center"/>
              <w:rPr>
                <w:rFonts w:eastAsia="仿宋"/>
                <w:bCs/>
                <w:sz w:val="24"/>
                <w:szCs w:val="24"/>
              </w:rPr>
            </w:pPr>
            <w:r>
              <w:rPr>
                <w:rFonts w:hint="eastAsia" w:eastAsia="仿宋"/>
                <w:bCs/>
                <w:sz w:val="24"/>
                <w:szCs w:val="24"/>
              </w:rPr>
              <w:t>王进、孙明兵</w:t>
            </w:r>
          </w:p>
        </w:tc>
      </w:tr>
      <w:tr w14:paraId="4214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6" w:type="dxa"/>
            <w:vAlign w:val="center"/>
          </w:tcPr>
          <w:p w14:paraId="7768C26E">
            <w:pPr>
              <w:adjustRightInd w:val="0"/>
              <w:snapToGrid w:val="0"/>
              <w:jc w:val="center"/>
              <w:rPr>
                <w:rFonts w:eastAsia="仿宋"/>
                <w:bCs/>
                <w:sz w:val="24"/>
                <w:szCs w:val="24"/>
              </w:rPr>
            </w:pPr>
            <w:r>
              <w:rPr>
                <w:rFonts w:hint="eastAsia" w:eastAsia="仿宋"/>
                <w:bCs/>
                <w:sz w:val="24"/>
                <w:szCs w:val="24"/>
              </w:rPr>
              <w:t>4</w:t>
            </w:r>
          </w:p>
        </w:tc>
        <w:tc>
          <w:tcPr>
            <w:tcW w:w="2133" w:type="dxa"/>
            <w:vAlign w:val="center"/>
          </w:tcPr>
          <w:p w14:paraId="08F7F2CC">
            <w:pPr>
              <w:adjustRightInd w:val="0"/>
              <w:snapToGrid w:val="0"/>
              <w:jc w:val="center"/>
              <w:rPr>
                <w:rFonts w:eastAsia="仿宋"/>
                <w:bCs/>
                <w:sz w:val="24"/>
                <w:szCs w:val="24"/>
              </w:rPr>
            </w:pPr>
            <w:r>
              <w:rPr>
                <w:rFonts w:eastAsia="仿宋"/>
                <w:bCs/>
                <w:sz w:val="24"/>
                <w:szCs w:val="24"/>
              </w:rPr>
              <w:t>Long Noncoding RNA GM16343 Promotes IL-36beta to Regulate Tumor Microenvironment by CD8(+) T cells</w:t>
            </w:r>
          </w:p>
        </w:tc>
        <w:tc>
          <w:tcPr>
            <w:tcW w:w="1630" w:type="dxa"/>
            <w:vAlign w:val="center"/>
          </w:tcPr>
          <w:p w14:paraId="2B2A20E7">
            <w:pPr>
              <w:adjustRightInd w:val="0"/>
              <w:snapToGrid w:val="0"/>
              <w:jc w:val="center"/>
              <w:rPr>
                <w:rFonts w:eastAsia="仿宋"/>
                <w:bCs/>
                <w:sz w:val="24"/>
                <w:szCs w:val="24"/>
              </w:rPr>
            </w:pPr>
            <w:r>
              <w:rPr>
                <w:rFonts w:eastAsia="仿宋"/>
                <w:bCs/>
                <w:sz w:val="24"/>
                <w:szCs w:val="24"/>
              </w:rPr>
              <w:t>Technology in Cancer Research &amp; Treatment</w:t>
            </w:r>
          </w:p>
        </w:tc>
        <w:tc>
          <w:tcPr>
            <w:tcW w:w="983" w:type="dxa"/>
            <w:vAlign w:val="center"/>
          </w:tcPr>
          <w:p w14:paraId="0A3CF884">
            <w:pPr>
              <w:adjustRightInd w:val="0"/>
              <w:snapToGrid w:val="0"/>
              <w:jc w:val="center"/>
              <w:rPr>
                <w:rFonts w:eastAsia="仿宋"/>
                <w:bCs/>
                <w:sz w:val="24"/>
                <w:szCs w:val="24"/>
              </w:rPr>
            </w:pPr>
            <w:r>
              <w:rPr>
                <w:rFonts w:eastAsia="仿宋"/>
                <w:bCs/>
                <w:sz w:val="24"/>
                <w:szCs w:val="24"/>
              </w:rPr>
              <w:t>2019</w:t>
            </w:r>
            <w:r>
              <w:rPr>
                <w:rFonts w:hint="eastAsia" w:eastAsia="仿宋"/>
                <w:bCs/>
                <w:sz w:val="24"/>
                <w:szCs w:val="24"/>
              </w:rPr>
              <w:t>年</w:t>
            </w:r>
            <w:r>
              <w:rPr>
                <w:rFonts w:eastAsia="仿宋"/>
                <w:bCs/>
                <w:sz w:val="24"/>
                <w:szCs w:val="24"/>
              </w:rPr>
              <w:t>, 18</w:t>
            </w:r>
            <w:r>
              <w:rPr>
                <w:rFonts w:hint="eastAsia" w:eastAsia="仿宋"/>
                <w:bCs/>
                <w:sz w:val="24"/>
                <w:szCs w:val="24"/>
              </w:rPr>
              <w:t>卷</w:t>
            </w:r>
            <w:r>
              <w:rPr>
                <w:rFonts w:eastAsia="仿宋"/>
                <w:bCs/>
                <w:sz w:val="24"/>
                <w:szCs w:val="24"/>
              </w:rPr>
              <w:t>1-10</w:t>
            </w:r>
            <w:r>
              <w:rPr>
                <w:rFonts w:hint="eastAsia" w:eastAsia="仿宋"/>
                <w:bCs/>
                <w:sz w:val="24"/>
                <w:szCs w:val="24"/>
              </w:rPr>
              <w:t>页</w:t>
            </w:r>
          </w:p>
        </w:tc>
        <w:tc>
          <w:tcPr>
            <w:tcW w:w="1035" w:type="dxa"/>
            <w:vAlign w:val="center"/>
          </w:tcPr>
          <w:p w14:paraId="60169513">
            <w:pPr>
              <w:adjustRightInd w:val="0"/>
              <w:snapToGrid w:val="0"/>
              <w:jc w:val="center"/>
              <w:rPr>
                <w:rFonts w:eastAsia="仿宋"/>
                <w:bCs/>
                <w:sz w:val="24"/>
                <w:szCs w:val="24"/>
              </w:rPr>
            </w:pPr>
            <w:r>
              <w:rPr>
                <w:rFonts w:hint="eastAsia" w:eastAsia="仿宋"/>
                <w:bCs/>
                <w:sz w:val="24"/>
                <w:szCs w:val="24"/>
              </w:rPr>
              <w:t>赵鑫、董晓强</w:t>
            </w:r>
          </w:p>
        </w:tc>
        <w:tc>
          <w:tcPr>
            <w:tcW w:w="1403" w:type="dxa"/>
            <w:vAlign w:val="center"/>
          </w:tcPr>
          <w:p w14:paraId="5D61F1C9">
            <w:pPr>
              <w:adjustRightInd w:val="0"/>
              <w:snapToGrid w:val="0"/>
              <w:jc w:val="center"/>
              <w:rPr>
                <w:rFonts w:eastAsia="仿宋"/>
                <w:bCs/>
                <w:sz w:val="24"/>
                <w:szCs w:val="24"/>
              </w:rPr>
            </w:pPr>
            <w:r>
              <w:rPr>
                <w:rFonts w:hint="eastAsia" w:eastAsia="仿宋"/>
                <w:bCs/>
                <w:sz w:val="24"/>
                <w:szCs w:val="24"/>
              </w:rPr>
              <w:t>毛德利、胡陈睿、张江磊</w:t>
            </w:r>
          </w:p>
        </w:tc>
      </w:tr>
      <w:tr w14:paraId="6416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6" w:type="dxa"/>
            <w:vAlign w:val="center"/>
          </w:tcPr>
          <w:p w14:paraId="39BF5163">
            <w:pPr>
              <w:adjustRightInd w:val="0"/>
              <w:snapToGrid w:val="0"/>
              <w:jc w:val="center"/>
              <w:rPr>
                <w:rFonts w:eastAsia="仿宋"/>
                <w:bCs/>
                <w:sz w:val="24"/>
                <w:szCs w:val="24"/>
              </w:rPr>
            </w:pPr>
            <w:r>
              <w:rPr>
                <w:rFonts w:hint="eastAsia" w:eastAsia="仿宋"/>
                <w:bCs/>
                <w:sz w:val="24"/>
                <w:szCs w:val="24"/>
              </w:rPr>
              <w:t>5</w:t>
            </w:r>
          </w:p>
        </w:tc>
        <w:tc>
          <w:tcPr>
            <w:tcW w:w="2133" w:type="dxa"/>
            <w:vAlign w:val="center"/>
          </w:tcPr>
          <w:p w14:paraId="7BA213BC">
            <w:pPr>
              <w:adjustRightInd w:val="0"/>
              <w:snapToGrid w:val="0"/>
              <w:jc w:val="center"/>
              <w:rPr>
                <w:rFonts w:eastAsia="仿宋"/>
                <w:bCs/>
                <w:sz w:val="24"/>
                <w:szCs w:val="24"/>
              </w:rPr>
            </w:pPr>
            <w:r>
              <w:rPr>
                <w:rFonts w:eastAsia="仿宋"/>
                <w:bCs/>
                <w:sz w:val="24"/>
                <w:szCs w:val="24"/>
              </w:rPr>
              <w:t>microRNA miR‑29a inhibits colon cancer progression by downregulating B7‑H3 expression: potential molecular targets for colon cancer therapy</w:t>
            </w:r>
          </w:p>
        </w:tc>
        <w:tc>
          <w:tcPr>
            <w:tcW w:w="1630" w:type="dxa"/>
            <w:vAlign w:val="center"/>
          </w:tcPr>
          <w:p w14:paraId="13DC0C29">
            <w:pPr>
              <w:adjustRightInd w:val="0"/>
              <w:snapToGrid w:val="0"/>
              <w:jc w:val="center"/>
              <w:rPr>
                <w:rFonts w:eastAsia="仿宋"/>
                <w:bCs/>
                <w:sz w:val="24"/>
                <w:szCs w:val="24"/>
              </w:rPr>
            </w:pPr>
            <w:r>
              <w:rPr>
                <w:rFonts w:eastAsia="仿宋"/>
                <w:bCs/>
                <w:sz w:val="24"/>
                <w:szCs w:val="24"/>
              </w:rPr>
              <w:t>Molecular  Biotechnology</w:t>
            </w:r>
          </w:p>
        </w:tc>
        <w:tc>
          <w:tcPr>
            <w:tcW w:w="983" w:type="dxa"/>
            <w:vAlign w:val="center"/>
          </w:tcPr>
          <w:p w14:paraId="7BCB33EB">
            <w:pPr>
              <w:adjustRightInd w:val="0"/>
              <w:snapToGrid w:val="0"/>
              <w:jc w:val="center"/>
              <w:rPr>
                <w:rFonts w:eastAsia="仿宋"/>
                <w:bCs/>
                <w:sz w:val="24"/>
                <w:szCs w:val="24"/>
              </w:rPr>
            </w:pPr>
            <w:r>
              <w:rPr>
                <w:rFonts w:hint="eastAsia" w:eastAsia="仿宋"/>
                <w:bCs/>
                <w:sz w:val="24"/>
                <w:szCs w:val="24"/>
              </w:rPr>
              <w:t>2021年63卷849-861页</w:t>
            </w:r>
          </w:p>
        </w:tc>
        <w:tc>
          <w:tcPr>
            <w:tcW w:w="1035" w:type="dxa"/>
            <w:vAlign w:val="center"/>
          </w:tcPr>
          <w:p w14:paraId="3D93B2F6">
            <w:pPr>
              <w:adjustRightInd w:val="0"/>
              <w:snapToGrid w:val="0"/>
              <w:jc w:val="center"/>
              <w:rPr>
                <w:rFonts w:eastAsia="仿宋"/>
                <w:bCs/>
                <w:sz w:val="24"/>
                <w:szCs w:val="24"/>
              </w:rPr>
            </w:pPr>
            <w:r>
              <w:rPr>
                <w:rFonts w:hint="eastAsia" w:eastAsia="仿宋"/>
                <w:bCs/>
                <w:sz w:val="24"/>
                <w:szCs w:val="24"/>
              </w:rPr>
              <w:t>赵鑫、张江磊</w:t>
            </w:r>
          </w:p>
        </w:tc>
        <w:tc>
          <w:tcPr>
            <w:tcW w:w="1403" w:type="dxa"/>
            <w:vAlign w:val="center"/>
          </w:tcPr>
          <w:p w14:paraId="6645531E">
            <w:pPr>
              <w:adjustRightInd w:val="0"/>
              <w:snapToGrid w:val="0"/>
              <w:jc w:val="center"/>
              <w:rPr>
                <w:rFonts w:eastAsia="仿宋"/>
                <w:bCs/>
                <w:sz w:val="24"/>
                <w:szCs w:val="24"/>
              </w:rPr>
            </w:pPr>
            <w:r>
              <w:rPr>
                <w:rFonts w:hint="eastAsia" w:eastAsia="仿宋"/>
                <w:bCs/>
                <w:sz w:val="24"/>
                <w:szCs w:val="24"/>
              </w:rPr>
              <w:t>王进、陈小娟、谢忱</w:t>
            </w:r>
          </w:p>
        </w:tc>
      </w:tr>
      <w:tr w14:paraId="5C17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6" w:type="dxa"/>
            <w:vAlign w:val="center"/>
          </w:tcPr>
          <w:p w14:paraId="5AE6BCA9">
            <w:pPr>
              <w:adjustRightInd w:val="0"/>
              <w:snapToGrid w:val="0"/>
              <w:jc w:val="center"/>
              <w:rPr>
                <w:rFonts w:eastAsia="仿宋"/>
                <w:bCs/>
                <w:sz w:val="24"/>
                <w:szCs w:val="24"/>
              </w:rPr>
            </w:pPr>
            <w:r>
              <w:rPr>
                <w:rFonts w:hint="eastAsia" w:eastAsia="仿宋"/>
                <w:bCs/>
                <w:sz w:val="24"/>
                <w:szCs w:val="24"/>
              </w:rPr>
              <w:t>6</w:t>
            </w:r>
          </w:p>
        </w:tc>
        <w:tc>
          <w:tcPr>
            <w:tcW w:w="2133" w:type="dxa"/>
            <w:vAlign w:val="center"/>
          </w:tcPr>
          <w:p w14:paraId="60E07962">
            <w:pPr>
              <w:adjustRightInd w:val="0"/>
              <w:snapToGrid w:val="0"/>
              <w:jc w:val="center"/>
              <w:rPr>
                <w:rFonts w:eastAsia="仿宋"/>
                <w:bCs/>
                <w:sz w:val="24"/>
                <w:szCs w:val="24"/>
              </w:rPr>
            </w:pPr>
            <w:r>
              <w:rPr>
                <w:rFonts w:eastAsia="仿宋"/>
                <w:bCs/>
                <w:sz w:val="24"/>
                <w:szCs w:val="24"/>
              </w:rPr>
              <w:t>Fully convolutional networks (FCNs)-based segmentation method for colorectal tumors on T2-weighted magnetic resonance images</w:t>
            </w:r>
          </w:p>
        </w:tc>
        <w:tc>
          <w:tcPr>
            <w:tcW w:w="1630" w:type="dxa"/>
            <w:vAlign w:val="center"/>
          </w:tcPr>
          <w:p w14:paraId="1E9D8436">
            <w:pPr>
              <w:adjustRightInd w:val="0"/>
              <w:snapToGrid w:val="0"/>
              <w:jc w:val="center"/>
              <w:rPr>
                <w:rFonts w:eastAsia="仿宋"/>
                <w:bCs/>
                <w:sz w:val="24"/>
                <w:szCs w:val="24"/>
              </w:rPr>
            </w:pPr>
            <w:r>
              <w:rPr>
                <w:rFonts w:eastAsia="仿宋"/>
                <w:bCs/>
                <w:sz w:val="24"/>
                <w:szCs w:val="24"/>
              </w:rPr>
              <w:t>Australasian Physical &amp; Engineering Sciences in Medicine</w:t>
            </w:r>
          </w:p>
        </w:tc>
        <w:tc>
          <w:tcPr>
            <w:tcW w:w="983" w:type="dxa"/>
            <w:vAlign w:val="center"/>
          </w:tcPr>
          <w:p w14:paraId="1BE5DCC4">
            <w:pPr>
              <w:adjustRightInd w:val="0"/>
              <w:snapToGrid w:val="0"/>
              <w:jc w:val="center"/>
              <w:rPr>
                <w:rFonts w:eastAsia="仿宋"/>
                <w:bCs/>
                <w:sz w:val="24"/>
                <w:szCs w:val="24"/>
              </w:rPr>
            </w:pPr>
            <w:r>
              <w:rPr>
                <w:rFonts w:hint="eastAsia" w:eastAsia="仿宋"/>
                <w:bCs/>
                <w:sz w:val="24"/>
                <w:szCs w:val="24"/>
              </w:rPr>
              <w:t>2018年41卷393-401页</w:t>
            </w:r>
          </w:p>
        </w:tc>
        <w:tc>
          <w:tcPr>
            <w:tcW w:w="1035" w:type="dxa"/>
            <w:vAlign w:val="center"/>
          </w:tcPr>
          <w:p w14:paraId="5C531A2D">
            <w:pPr>
              <w:adjustRightInd w:val="0"/>
              <w:snapToGrid w:val="0"/>
              <w:jc w:val="center"/>
              <w:rPr>
                <w:rFonts w:eastAsia="仿宋"/>
                <w:bCs/>
                <w:sz w:val="24"/>
                <w:szCs w:val="24"/>
              </w:rPr>
            </w:pPr>
            <w:r>
              <w:rPr>
                <w:rFonts w:hint="eastAsia" w:eastAsia="仿宋"/>
                <w:bCs/>
                <w:sz w:val="24"/>
                <w:szCs w:val="24"/>
              </w:rPr>
              <w:t>高欣、孟晓春</w:t>
            </w:r>
          </w:p>
        </w:tc>
        <w:tc>
          <w:tcPr>
            <w:tcW w:w="1403" w:type="dxa"/>
            <w:vAlign w:val="center"/>
          </w:tcPr>
          <w:p w14:paraId="7B201B6B">
            <w:pPr>
              <w:adjustRightInd w:val="0"/>
              <w:snapToGrid w:val="0"/>
              <w:jc w:val="center"/>
              <w:rPr>
                <w:rFonts w:eastAsia="仿宋"/>
                <w:bCs/>
                <w:sz w:val="24"/>
                <w:szCs w:val="24"/>
              </w:rPr>
            </w:pPr>
            <w:r>
              <w:rPr>
                <w:rFonts w:hint="eastAsia" w:eastAsia="仿宋"/>
                <w:bCs/>
                <w:sz w:val="24"/>
                <w:szCs w:val="24"/>
              </w:rPr>
              <w:t>简俊明</w:t>
            </w:r>
          </w:p>
        </w:tc>
      </w:tr>
      <w:tr w14:paraId="4B10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6" w:type="dxa"/>
            <w:vAlign w:val="center"/>
          </w:tcPr>
          <w:p w14:paraId="0A00BFED">
            <w:pPr>
              <w:adjustRightInd w:val="0"/>
              <w:snapToGrid w:val="0"/>
              <w:jc w:val="center"/>
              <w:rPr>
                <w:rFonts w:eastAsia="仿宋"/>
                <w:bCs/>
                <w:sz w:val="24"/>
                <w:szCs w:val="24"/>
              </w:rPr>
            </w:pPr>
            <w:r>
              <w:rPr>
                <w:rFonts w:hint="eastAsia" w:eastAsia="仿宋"/>
                <w:bCs/>
                <w:sz w:val="24"/>
                <w:szCs w:val="24"/>
              </w:rPr>
              <w:t>7</w:t>
            </w:r>
          </w:p>
        </w:tc>
        <w:tc>
          <w:tcPr>
            <w:tcW w:w="2133" w:type="dxa"/>
            <w:vAlign w:val="center"/>
          </w:tcPr>
          <w:p w14:paraId="59CFAA75">
            <w:pPr>
              <w:adjustRightInd w:val="0"/>
              <w:snapToGrid w:val="0"/>
              <w:jc w:val="center"/>
              <w:rPr>
                <w:rFonts w:eastAsia="仿宋"/>
                <w:bCs/>
                <w:sz w:val="24"/>
                <w:szCs w:val="24"/>
              </w:rPr>
            </w:pPr>
            <w:r>
              <w:rPr>
                <w:rFonts w:eastAsia="仿宋"/>
                <w:bCs/>
                <w:sz w:val="24"/>
                <w:szCs w:val="24"/>
              </w:rPr>
              <w:t>Object Extraction via Deep Learning-based Marker-free Tracking Framework of Surgical Instruments for Laparoscope-holder Robots</w:t>
            </w:r>
          </w:p>
        </w:tc>
        <w:tc>
          <w:tcPr>
            <w:tcW w:w="1630" w:type="dxa"/>
            <w:vAlign w:val="center"/>
          </w:tcPr>
          <w:p w14:paraId="0ECB2FA9">
            <w:pPr>
              <w:adjustRightInd w:val="0"/>
              <w:snapToGrid w:val="0"/>
              <w:jc w:val="center"/>
              <w:rPr>
                <w:rFonts w:eastAsia="仿宋"/>
                <w:bCs/>
                <w:sz w:val="24"/>
                <w:szCs w:val="24"/>
              </w:rPr>
            </w:pPr>
            <w:r>
              <w:rPr>
                <w:rFonts w:eastAsia="仿宋"/>
                <w:bCs/>
                <w:sz w:val="24"/>
                <w:szCs w:val="24"/>
              </w:rPr>
              <w:t>International Journal of Computer Assisted Radiology and Surgery</w:t>
            </w:r>
          </w:p>
        </w:tc>
        <w:tc>
          <w:tcPr>
            <w:tcW w:w="983" w:type="dxa"/>
            <w:vAlign w:val="center"/>
          </w:tcPr>
          <w:p w14:paraId="23F0221D">
            <w:pPr>
              <w:adjustRightInd w:val="0"/>
              <w:snapToGrid w:val="0"/>
              <w:jc w:val="center"/>
              <w:rPr>
                <w:rFonts w:eastAsia="仿宋"/>
                <w:bCs/>
                <w:sz w:val="24"/>
                <w:szCs w:val="24"/>
              </w:rPr>
            </w:pPr>
            <w:r>
              <w:rPr>
                <w:rFonts w:hint="eastAsia" w:eastAsia="仿宋"/>
                <w:bCs/>
                <w:sz w:val="24"/>
                <w:szCs w:val="24"/>
              </w:rPr>
              <w:t>2020年15卷1335-1345页</w:t>
            </w:r>
          </w:p>
        </w:tc>
        <w:tc>
          <w:tcPr>
            <w:tcW w:w="1035" w:type="dxa"/>
            <w:vAlign w:val="center"/>
          </w:tcPr>
          <w:p w14:paraId="4E598375">
            <w:pPr>
              <w:adjustRightInd w:val="0"/>
              <w:snapToGrid w:val="0"/>
              <w:jc w:val="center"/>
              <w:rPr>
                <w:rFonts w:eastAsia="仿宋"/>
                <w:bCs/>
                <w:sz w:val="24"/>
                <w:szCs w:val="24"/>
              </w:rPr>
            </w:pPr>
            <w:r>
              <w:rPr>
                <w:rFonts w:hint="eastAsia" w:eastAsia="仿宋"/>
                <w:bCs/>
                <w:sz w:val="24"/>
                <w:szCs w:val="24"/>
              </w:rPr>
              <w:t>高欣</w:t>
            </w:r>
          </w:p>
        </w:tc>
        <w:tc>
          <w:tcPr>
            <w:tcW w:w="1403" w:type="dxa"/>
            <w:vAlign w:val="center"/>
          </w:tcPr>
          <w:p w14:paraId="5B14FFEF">
            <w:pPr>
              <w:adjustRightInd w:val="0"/>
              <w:snapToGrid w:val="0"/>
              <w:jc w:val="center"/>
              <w:rPr>
                <w:rFonts w:eastAsia="仿宋"/>
                <w:bCs/>
                <w:sz w:val="24"/>
                <w:szCs w:val="24"/>
              </w:rPr>
            </w:pPr>
            <w:r>
              <w:rPr>
                <w:rFonts w:hint="eastAsia" w:eastAsia="仿宋"/>
                <w:bCs/>
                <w:sz w:val="24"/>
                <w:szCs w:val="24"/>
              </w:rPr>
              <w:t>张家意</w:t>
            </w:r>
          </w:p>
        </w:tc>
      </w:tr>
      <w:tr w14:paraId="4EA2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6" w:type="dxa"/>
            <w:vAlign w:val="center"/>
          </w:tcPr>
          <w:p w14:paraId="4BDA6B3D">
            <w:pPr>
              <w:adjustRightInd w:val="0"/>
              <w:snapToGrid w:val="0"/>
              <w:jc w:val="center"/>
              <w:rPr>
                <w:rFonts w:eastAsia="仿宋"/>
                <w:bCs/>
                <w:sz w:val="24"/>
                <w:szCs w:val="24"/>
              </w:rPr>
            </w:pPr>
            <w:r>
              <w:rPr>
                <w:rFonts w:hint="eastAsia" w:eastAsia="仿宋"/>
                <w:bCs/>
                <w:sz w:val="24"/>
                <w:szCs w:val="24"/>
              </w:rPr>
              <w:t>8</w:t>
            </w:r>
          </w:p>
        </w:tc>
        <w:tc>
          <w:tcPr>
            <w:tcW w:w="2133" w:type="dxa"/>
            <w:vAlign w:val="center"/>
          </w:tcPr>
          <w:p w14:paraId="1550EF6F">
            <w:pPr>
              <w:adjustRightInd w:val="0"/>
              <w:snapToGrid w:val="0"/>
              <w:jc w:val="center"/>
              <w:rPr>
                <w:rFonts w:eastAsia="仿宋"/>
                <w:bCs/>
                <w:sz w:val="24"/>
                <w:szCs w:val="24"/>
              </w:rPr>
            </w:pPr>
            <w:r>
              <w:rPr>
                <w:rFonts w:eastAsia="仿宋"/>
                <w:bCs/>
                <w:sz w:val="24"/>
                <w:szCs w:val="24"/>
              </w:rPr>
              <w:t>A New Biomarker of Fecal Bacteria for Non-Invasive Diagnosis of Colorectal Cancer</w:t>
            </w:r>
          </w:p>
        </w:tc>
        <w:tc>
          <w:tcPr>
            <w:tcW w:w="1630" w:type="dxa"/>
            <w:vAlign w:val="center"/>
          </w:tcPr>
          <w:p w14:paraId="5CFE3ADB">
            <w:pPr>
              <w:adjustRightInd w:val="0"/>
              <w:snapToGrid w:val="0"/>
              <w:jc w:val="center"/>
              <w:rPr>
                <w:rFonts w:eastAsia="仿宋"/>
                <w:bCs/>
                <w:sz w:val="24"/>
                <w:szCs w:val="24"/>
              </w:rPr>
            </w:pPr>
            <w:r>
              <w:rPr>
                <w:rFonts w:eastAsia="仿宋"/>
                <w:bCs/>
                <w:sz w:val="24"/>
                <w:szCs w:val="24"/>
              </w:rPr>
              <w:t>Frontiers in Cellular and Infection Microbiology</w:t>
            </w:r>
          </w:p>
        </w:tc>
        <w:tc>
          <w:tcPr>
            <w:tcW w:w="983" w:type="dxa"/>
            <w:vAlign w:val="center"/>
          </w:tcPr>
          <w:p w14:paraId="2024D2FB">
            <w:pPr>
              <w:adjustRightInd w:val="0"/>
              <w:snapToGrid w:val="0"/>
              <w:jc w:val="center"/>
              <w:rPr>
                <w:rFonts w:eastAsia="仿宋"/>
                <w:bCs/>
                <w:sz w:val="24"/>
                <w:szCs w:val="24"/>
              </w:rPr>
            </w:pPr>
            <w:r>
              <w:rPr>
                <w:rFonts w:hint="eastAsia" w:eastAsia="仿宋"/>
                <w:bCs/>
                <w:sz w:val="24"/>
                <w:szCs w:val="24"/>
              </w:rPr>
              <w:t>2021年11卷744049页</w:t>
            </w:r>
          </w:p>
        </w:tc>
        <w:tc>
          <w:tcPr>
            <w:tcW w:w="1035" w:type="dxa"/>
            <w:vAlign w:val="center"/>
          </w:tcPr>
          <w:p w14:paraId="3FBE9E7B">
            <w:pPr>
              <w:adjustRightInd w:val="0"/>
              <w:snapToGrid w:val="0"/>
              <w:jc w:val="center"/>
              <w:rPr>
                <w:rFonts w:eastAsia="仿宋"/>
                <w:bCs/>
                <w:sz w:val="24"/>
                <w:szCs w:val="24"/>
              </w:rPr>
            </w:pPr>
            <w:r>
              <w:rPr>
                <w:rFonts w:hint="eastAsia" w:eastAsia="仿宋"/>
                <w:bCs/>
                <w:sz w:val="24"/>
                <w:szCs w:val="24"/>
              </w:rPr>
              <w:t>宋世铎、朱新国</w:t>
            </w:r>
          </w:p>
        </w:tc>
        <w:tc>
          <w:tcPr>
            <w:tcW w:w="1403" w:type="dxa"/>
            <w:vAlign w:val="center"/>
          </w:tcPr>
          <w:p w14:paraId="0ED2B079">
            <w:pPr>
              <w:adjustRightInd w:val="0"/>
              <w:snapToGrid w:val="0"/>
              <w:jc w:val="center"/>
              <w:rPr>
                <w:rFonts w:eastAsia="仿宋"/>
                <w:bCs/>
                <w:sz w:val="24"/>
                <w:szCs w:val="24"/>
              </w:rPr>
            </w:pPr>
            <w:r>
              <w:rPr>
                <w:rFonts w:hint="eastAsia" w:eastAsia="仿宋"/>
                <w:bCs/>
                <w:sz w:val="24"/>
                <w:szCs w:val="24"/>
              </w:rPr>
              <w:t>姚一舟、倪海顺、王旭超、徐启宣</w:t>
            </w:r>
          </w:p>
        </w:tc>
      </w:tr>
      <w:tr w14:paraId="5034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6" w:type="dxa"/>
            <w:vAlign w:val="center"/>
          </w:tcPr>
          <w:p w14:paraId="4E08BAA0">
            <w:pPr>
              <w:adjustRightInd w:val="0"/>
              <w:snapToGrid w:val="0"/>
              <w:jc w:val="center"/>
              <w:rPr>
                <w:rFonts w:eastAsia="仿宋"/>
                <w:bCs/>
                <w:sz w:val="24"/>
                <w:szCs w:val="24"/>
              </w:rPr>
            </w:pPr>
            <w:r>
              <w:rPr>
                <w:rFonts w:hint="eastAsia" w:eastAsia="仿宋"/>
                <w:bCs/>
                <w:sz w:val="24"/>
                <w:szCs w:val="24"/>
              </w:rPr>
              <w:t>9</w:t>
            </w:r>
          </w:p>
        </w:tc>
        <w:tc>
          <w:tcPr>
            <w:tcW w:w="2133" w:type="dxa"/>
            <w:vAlign w:val="center"/>
          </w:tcPr>
          <w:p w14:paraId="3FEC7759">
            <w:pPr>
              <w:adjustRightInd w:val="0"/>
              <w:snapToGrid w:val="0"/>
              <w:jc w:val="center"/>
              <w:rPr>
                <w:rFonts w:eastAsia="仿宋"/>
                <w:bCs/>
                <w:sz w:val="24"/>
                <w:szCs w:val="24"/>
              </w:rPr>
            </w:pPr>
            <w:r>
              <w:rPr>
                <w:rFonts w:eastAsia="仿宋"/>
                <w:bCs/>
                <w:sz w:val="24"/>
                <w:szCs w:val="24"/>
              </w:rPr>
              <w:t>Short hairpin RNA- mediated gene knockdown of FOXM1 inhibits the proliferation and metastasis of human colon cancer cells through reversal of epithelial-to-mesenchymal transformation</w:t>
            </w:r>
          </w:p>
        </w:tc>
        <w:tc>
          <w:tcPr>
            <w:tcW w:w="1630" w:type="dxa"/>
            <w:vAlign w:val="center"/>
          </w:tcPr>
          <w:p w14:paraId="6DAB6865">
            <w:pPr>
              <w:adjustRightInd w:val="0"/>
              <w:snapToGrid w:val="0"/>
              <w:jc w:val="center"/>
              <w:rPr>
                <w:rFonts w:eastAsia="仿宋"/>
                <w:bCs/>
                <w:sz w:val="24"/>
                <w:szCs w:val="24"/>
              </w:rPr>
            </w:pPr>
            <w:r>
              <w:rPr>
                <w:rFonts w:eastAsia="仿宋"/>
                <w:bCs/>
                <w:sz w:val="24"/>
                <w:szCs w:val="24"/>
              </w:rPr>
              <w:t>Journal of Experimental &amp; Clinical Cancer Research</w:t>
            </w:r>
          </w:p>
        </w:tc>
        <w:tc>
          <w:tcPr>
            <w:tcW w:w="983" w:type="dxa"/>
            <w:vAlign w:val="center"/>
          </w:tcPr>
          <w:p w14:paraId="63D0ED70">
            <w:pPr>
              <w:adjustRightInd w:val="0"/>
              <w:snapToGrid w:val="0"/>
              <w:jc w:val="center"/>
              <w:rPr>
                <w:rFonts w:eastAsia="仿宋"/>
                <w:bCs/>
                <w:sz w:val="24"/>
                <w:szCs w:val="24"/>
              </w:rPr>
            </w:pPr>
            <w:r>
              <w:rPr>
                <w:rFonts w:hint="eastAsia" w:eastAsia="仿宋"/>
                <w:bCs/>
                <w:sz w:val="24"/>
                <w:szCs w:val="24"/>
              </w:rPr>
              <w:t>2015年34卷40页</w:t>
            </w:r>
          </w:p>
        </w:tc>
        <w:tc>
          <w:tcPr>
            <w:tcW w:w="1035" w:type="dxa"/>
            <w:vAlign w:val="center"/>
          </w:tcPr>
          <w:p w14:paraId="6131E08A">
            <w:pPr>
              <w:adjustRightInd w:val="0"/>
              <w:snapToGrid w:val="0"/>
              <w:jc w:val="center"/>
              <w:rPr>
                <w:rFonts w:eastAsia="仿宋"/>
                <w:bCs/>
                <w:sz w:val="24"/>
                <w:szCs w:val="24"/>
              </w:rPr>
            </w:pPr>
            <w:r>
              <w:rPr>
                <w:rFonts w:hint="eastAsia" w:eastAsia="仿宋"/>
                <w:bCs/>
                <w:sz w:val="24"/>
                <w:szCs w:val="24"/>
              </w:rPr>
              <w:t>姚一舟、朱新国</w:t>
            </w:r>
          </w:p>
        </w:tc>
        <w:tc>
          <w:tcPr>
            <w:tcW w:w="1403" w:type="dxa"/>
            <w:vAlign w:val="center"/>
          </w:tcPr>
          <w:p w14:paraId="517FFBD4">
            <w:pPr>
              <w:adjustRightInd w:val="0"/>
              <w:snapToGrid w:val="0"/>
              <w:jc w:val="center"/>
              <w:rPr>
                <w:rFonts w:eastAsia="仿宋"/>
                <w:bCs/>
                <w:sz w:val="24"/>
                <w:szCs w:val="24"/>
              </w:rPr>
            </w:pPr>
            <w:r>
              <w:rPr>
                <w:rFonts w:hint="eastAsia" w:eastAsia="仿宋"/>
                <w:bCs/>
                <w:sz w:val="24"/>
                <w:szCs w:val="24"/>
              </w:rPr>
              <w:t>杨侃侃、蒋林华</w:t>
            </w:r>
          </w:p>
        </w:tc>
      </w:tr>
      <w:tr w14:paraId="3B00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6" w:type="dxa"/>
            <w:vAlign w:val="center"/>
          </w:tcPr>
          <w:p w14:paraId="7CE812F7">
            <w:pPr>
              <w:adjustRightInd w:val="0"/>
              <w:snapToGrid w:val="0"/>
              <w:jc w:val="center"/>
              <w:rPr>
                <w:rFonts w:eastAsia="仿宋"/>
                <w:bCs/>
                <w:sz w:val="24"/>
                <w:szCs w:val="24"/>
              </w:rPr>
            </w:pPr>
            <w:r>
              <w:rPr>
                <w:rFonts w:hint="eastAsia" w:eastAsia="仿宋"/>
                <w:bCs/>
                <w:sz w:val="24"/>
                <w:szCs w:val="24"/>
              </w:rPr>
              <w:t>10</w:t>
            </w:r>
          </w:p>
        </w:tc>
        <w:tc>
          <w:tcPr>
            <w:tcW w:w="2133" w:type="dxa"/>
            <w:vAlign w:val="center"/>
          </w:tcPr>
          <w:p w14:paraId="386E711B">
            <w:pPr>
              <w:adjustRightInd w:val="0"/>
              <w:snapToGrid w:val="0"/>
              <w:jc w:val="center"/>
              <w:rPr>
                <w:rFonts w:eastAsia="仿宋"/>
                <w:bCs/>
                <w:sz w:val="24"/>
                <w:szCs w:val="24"/>
              </w:rPr>
            </w:pPr>
            <w:r>
              <w:rPr>
                <w:rFonts w:eastAsia="仿宋"/>
                <w:bCs/>
                <w:sz w:val="24"/>
                <w:szCs w:val="24"/>
              </w:rPr>
              <w:t>2-Hydroxylation of Fatty Acids Represses Colorectal</w:t>
            </w:r>
            <w:r>
              <w:rPr>
                <w:rFonts w:hint="eastAsia" w:eastAsia="仿宋"/>
                <w:bCs/>
                <w:sz w:val="24"/>
                <w:szCs w:val="24"/>
              </w:rPr>
              <w:t xml:space="preserve"> </w:t>
            </w:r>
            <w:r>
              <w:rPr>
                <w:rFonts w:eastAsia="仿宋"/>
                <w:bCs/>
                <w:sz w:val="24"/>
                <w:szCs w:val="24"/>
              </w:rPr>
              <w:t>Tumorigenesis and Metastasis via the YAP</w:t>
            </w:r>
          </w:p>
          <w:p w14:paraId="6E2C83D1">
            <w:pPr>
              <w:adjustRightInd w:val="0"/>
              <w:snapToGrid w:val="0"/>
              <w:jc w:val="center"/>
              <w:rPr>
                <w:rFonts w:eastAsia="仿宋"/>
                <w:bCs/>
                <w:sz w:val="24"/>
                <w:szCs w:val="24"/>
              </w:rPr>
            </w:pPr>
            <w:r>
              <w:rPr>
                <w:rFonts w:eastAsia="仿宋"/>
                <w:bCs/>
                <w:sz w:val="24"/>
                <w:szCs w:val="24"/>
              </w:rPr>
              <w:t>Transcriptional Axis</w:t>
            </w:r>
          </w:p>
        </w:tc>
        <w:tc>
          <w:tcPr>
            <w:tcW w:w="1630" w:type="dxa"/>
            <w:vAlign w:val="center"/>
          </w:tcPr>
          <w:p w14:paraId="3CC9CCF5">
            <w:pPr>
              <w:adjustRightInd w:val="0"/>
              <w:snapToGrid w:val="0"/>
              <w:jc w:val="center"/>
              <w:rPr>
                <w:rFonts w:eastAsia="仿宋"/>
                <w:bCs/>
                <w:sz w:val="24"/>
                <w:szCs w:val="24"/>
              </w:rPr>
            </w:pPr>
            <w:r>
              <w:rPr>
                <w:rFonts w:eastAsia="仿宋"/>
                <w:bCs/>
                <w:sz w:val="24"/>
                <w:szCs w:val="24"/>
              </w:rPr>
              <w:t>CANCER RESEARCH</w:t>
            </w:r>
          </w:p>
        </w:tc>
        <w:tc>
          <w:tcPr>
            <w:tcW w:w="983" w:type="dxa"/>
            <w:vAlign w:val="center"/>
          </w:tcPr>
          <w:p w14:paraId="24C8995D">
            <w:pPr>
              <w:adjustRightInd w:val="0"/>
              <w:snapToGrid w:val="0"/>
              <w:jc w:val="center"/>
              <w:rPr>
                <w:rFonts w:eastAsia="仿宋"/>
                <w:bCs/>
                <w:sz w:val="24"/>
                <w:szCs w:val="24"/>
              </w:rPr>
            </w:pPr>
            <w:r>
              <w:rPr>
                <w:rFonts w:hint="eastAsia" w:eastAsia="仿宋"/>
                <w:bCs/>
                <w:sz w:val="24"/>
                <w:szCs w:val="24"/>
              </w:rPr>
              <w:t>2021年81卷289-302页</w:t>
            </w:r>
          </w:p>
        </w:tc>
        <w:tc>
          <w:tcPr>
            <w:tcW w:w="1035" w:type="dxa"/>
            <w:vAlign w:val="center"/>
          </w:tcPr>
          <w:p w14:paraId="3EB04DC4">
            <w:pPr>
              <w:adjustRightInd w:val="0"/>
              <w:snapToGrid w:val="0"/>
              <w:jc w:val="center"/>
              <w:rPr>
                <w:rFonts w:eastAsia="仿宋"/>
                <w:bCs/>
                <w:sz w:val="24"/>
                <w:szCs w:val="24"/>
              </w:rPr>
            </w:pPr>
            <w:r>
              <w:rPr>
                <w:rFonts w:hint="eastAsia" w:eastAsia="仿宋"/>
                <w:bCs/>
                <w:sz w:val="24"/>
                <w:szCs w:val="24"/>
              </w:rPr>
              <w:t>苏雄 朱新国</w:t>
            </w:r>
          </w:p>
        </w:tc>
        <w:tc>
          <w:tcPr>
            <w:tcW w:w="1403" w:type="dxa"/>
            <w:vAlign w:val="center"/>
          </w:tcPr>
          <w:p w14:paraId="0CA42EE6">
            <w:pPr>
              <w:adjustRightInd w:val="0"/>
              <w:snapToGrid w:val="0"/>
              <w:jc w:val="center"/>
              <w:rPr>
                <w:rFonts w:eastAsia="仿宋"/>
                <w:bCs/>
                <w:sz w:val="24"/>
                <w:szCs w:val="24"/>
              </w:rPr>
            </w:pPr>
            <w:r>
              <w:rPr>
                <w:rFonts w:hint="eastAsia" w:eastAsia="仿宋"/>
                <w:bCs/>
                <w:sz w:val="24"/>
                <w:szCs w:val="24"/>
              </w:rPr>
              <w:t>孙亮 杨晓琴 何宋兵</w:t>
            </w:r>
          </w:p>
        </w:tc>
      </w:tr>
    </w:tbl>
    <w:p w14:paraId="6E7CBF68">
      <w:pPr>
        <w:adjustRightInd w:val="0"/>
        <w:snapToGrid w:val="0"/>
        <w:spacing w:line="600" w:lineRule="exact"/>
        <w:rPr>
          <w:b/>
          <w:color w:val="000000"/>
          <w:sz w:val="24"/>
          <w:szCs w:val="24"/>
        </w:rPr>
      </w:pPr>
      <w:bookmarkStart w:id="9" w:name="OLE_LINK2"/>
      <w:bookmarkStart w:id="10" w:name="OLE_LINK1"/>
    </w:p>
    <w:p w14:paraId="0940B468">
      <w:pPr>
        <w:adjustRightInd w:val="0"/>
        <w:snapToGrid w:val="0"/>
        <w:spacing w:line="600" w:lineRule="exact"/>
        <w:rPr>
          <w:b/>
          <w:color w:val="000000"/>
          <w:sz w:val="24"/>
          <w:szCs w:val="24"/>
        </w:rPr>
      </w:pPr>
    </w:p>
    <w:p w14:paraId="7EFB0B15">
      <w:pPr>
        <w:adjustRightInd w:val="0"/>
        <w:snapToGrid w:val="0"/>
        <w:spacing w:line="600" w:lineRule="exact"/>
        <w:rPr>
          <w:b/>
          <w:color w:val="000000"/>
          <w:sz w:val="24"/>
          <w:szCs w:val="24"/>
        </w:rPr>
      </w:pPr>
    </w:p>
    <w:p w14:paraId="119555A7">
      <w:pPr>
        <w:adjustRightInd w:val="0"/>
        <w:snapToGrid w:val="0"/>
        <w:spacing w:line="600" w:lineRule="exact"/>
        <w:rPr>
          <w:b/>
          <w:color w:val="000000"/>
          <w:sz w:val="24"/>
          <w:szCs w:val="24"/>
        </w:rPr>
      </w:pPr>
    </w:p>
    <w:p w14:paraId="0CA29240">
      <w:pPr>
        <w:adjustRightInd w:val="0"/>
        <w:snapToGrid w:val="0"/>
        <w:spacing w:line="600" w:lineRule="exact"/>
        <w:rPr>
          <w:b/>
          <w:color w:val="000000"/>
          <w:sz w:val="24"/>
          <w:szCs w:val="24"/>
        </w:rPr>
      </w:pPr>
    </w:p>
    <w:p w14:paraId="2391D3E1">
      <w:pPr>
        <w:adjustRightInd w:val="0"/>
        <w:snapToGrid w:val="0"/>
        <w:spacing w:line="600" w:lineRule="exact"/>
        <w:rPr>
          <w:b/>
          <w:color w:val="000000"/>
          <w:sz w:val="24"/>
          <w:szCs w:val="24"/>
        </w:rPr>
      </w:pPr>
    </w:p>
    <w:p w14:paraId="63AC078B">
      <w:pPr>
        <w:adjustRightInd w:val="0"/>
        <w:snapToGrid w:val="0"/>
        <w:spacing w:line="600" w:lineRule="exact"/>
        <w:rPr>
          <w:b/>
          <w:color w:val="000000"/>
          <w:sz w:val="24"/>
          <w:szCs w:val="24"/>
        </w:rPr>
      </w:pPr>
    </w:p>
    <w:p w14:paraId="3A679CEA">
      <w:pPr>
        <w:adjustRightInd w:val="0"/>
        <w:snapToGrid w:val="0"/>
        <w:spacing w:line="600" w:lineRule="exact"/>
        <w:rPr>
          <w:b/>
          <w:color w:val="000000"/>
          <w:sz w:val="24"/>
          <w:szCs w:val="24"/>
        </w:rPr>
      </w:pPr>
    </w:p>
    <w:p w14:paraId="7A8BE4C4">
      <w:pPr>
        <w:adjustRightInd w:val="0"/>
        <w:snapToGrid w:val="0"/>
        <w:spacing w:line="600" w:lineRule="exact"/>
        <w:rPr>
          <w:b/>
          <w:color w:val="000000"/>
          <w:sz w:val="24"/>
          <w:szCs w:val="24"/>
        </w:rPr>
      </w:pPr>
    </w:p>
    <w:p w14:paraId="67487661">
      <w:pPr>
        <w:adjustRightInd w:val="0"/>
        <w:snapToGrid w:val="0"/>
        <w:spacing w:line="600" w:lineRule="exact"/>
        <w:rPr>
          <w:b/>
          <w:color w:val="000000"/>
          <w:sz w:val="24"/>
          <w:szCs w:val="24"/>
        </w:rPr>
      </w:pPr>
      <w:r>
        <w:rPr>
          <w:rFonts w:hint="eastAsia"/>
          <w:b/>
          <w:color w:val="000000"/>
          <w:sz w:val="24"/>
          <w:szCs w:val="24"/>
        </w:rPr>
        <w:t>七、主要知识产权和标准规范等目录</w:t>
      </w:r>
    </w:p>
    <w:bookmarkEnd w:id="4"/>
    <w:bookmarkEnd w:id="9"/>
    <w:bookmarkEnd w:id="10"/>
    <w:tbl>
      <w:tblPr>
        <w:tblStyle w:val="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92"/>
        <w:gridCol w:w="1106"/>
        <w:gridCol w:w="1021"/>
        <w:gridCol w:w="1105"/>
        <w:gridCol w:w="1134"/>
        <w:gridCol w:w="1276"/>
        <w:gridCol w:w="1021"/>
        <w:gridCol w:w="1247"/>
      </w:tblGrid>
      <w:tr w14:paraId="4E68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4AD0B99B">
            <w:pPr>
              <w:jc w:val="center"/>
              <w:rPr>
                <w:rFonts w:eastAsia="仿宋"/>
                <w:sz w:val="24"/>
              </w:rPr>
            </w:pPr>
            <w:r>
              <w:rPr>
                <w:rFonts w:eastAsia="仿宋"/>
                <w:sz w:val="24"/>
              </w:rPr>
              <w:t>序号</w:t>
            </w:r>
          </w:p>
        </w:tc>
        <w:tc>
          <w:tcPr>
            <w:tcW w:w="992" w:type="dxa"/>
            <w:vAlign w:val="center"/>
          </w:tcPr>
          <w:p w14:paraId="446D416E">
            <w:pPr>
              <w:jc w:val="center"/>
              <w:rPr>
                <w:rFonts w:eastAsia="仿宋"/>
                <w:sz w:val="24"/>
              </w:rPr>
            </w:pPr>
            <w:r>
              <w:rPr>
                <w:rFonts w:eastAsia="仿宋"/>
                <w:sz w:val="24"/>
              </w:rPr>
              <w:t>知识产权</w:t>
            </w:r>
            <w:r>
              <w:rPr>
                <w:rFonts w:hint="eastAsia" w:eastAsia="仿宋"/>
                <w:sz w:val="24"/>
              </w:rPr>
              <w:t>(</w:t>
            </w:r>
            <w:r>
              <w:rPr>
                <w:rFonts w:eastAsia="仿宋"/>
                <w:sz w:val="24"/>
              </w:rPr>
              <w:t>标准</w:t>
            </w:r>
            <w:r>
              <w:rPr>
                <w:rFonts w:hint="eastAsia" w:eastAsia="仿宋"/>
                <w:sz w:val="24"/>
              </w:rPr>
              <w:t>)</w:t>
            </w:r>
            <w:r>
              <w:rPr>
                <w:rFonts w:eastAsia="仿宋"/>
                <w:sz w:val="24"/>
              </w:rPr>
              <w:t>类别</w:t>
            </w:r>
          </w:p>
        </w:tc>
        <w:tc>
          <w:tcPr>
            <w:tcW w:w="1106" w:type="dxa"/>
            <w:vAlign w:val="center"/>
          </w:tcPr>
          <w:p w14:paraId="2E73F5CC">
            <w:pPr>
              <w:jc w:val="center"/>
              <w:rPr>
                <w:rFonts w:eastAsia="仿宋"/>
                <w:sz w:val="24"/>
              </w:rPr>
            </w:pPr>
            <w:r>
              <w:rPr>
                <w:rFonts w:eastAsia="仿宋"/>
                <w:sz w:val="24"/>
              </w:rPr>
              <w:t>知识产权</w:t>
            </w:r>
            <w:r>
              <w:rPr>
                <w:rFonts w:hint="eastAsia" w:eastAsia="仿宋"/>
                <w:sz w:val="24"/>
              </w:rPr>
              <w:t>(</w:t>
            </w:r>
            <w:r>
              <w:rPr>
                <w:rFonts w:eastAsia="仿宋"/>
                <w:sz w:val="24"/>
              </w:rPr>
              <w:t>标准</w:t>
            </w:r>
            <w:r>
              <w:rPr>
                <w:rFonts w:hint="eastAsia" w:eastAsia="仿宋"/>
                <w:sz w:val="24"/>
              </w:rPr>
              <w:t>)</w:t>
            </w:r>
          </w:p>
          <w:p w14:paraId="31A96EF9">
            <w:pPr>
              <w:jc w:val="center"/>
              <w:rPr>
                <w:rFonts w:eastAsia="仿宋"/>
                <w:sz w:val="24"/>
              </w:rPr>
            </w:pPr>
            <w:r>
              <w:rPr>
                <w:rFonts w:eastAsia="仿宋"/>
                <w:sz w:val="24"/>
              </w:rPr>
              <w:t>具体名称</w:t>
            </w:r>
          </w:p>
        </w:tc>
        <w:tc>
          <w:tcPr>
            <w:tcW w:w="1021" w:type="dxa"/>
            <w:vAlign w:val="center"/>
          </w:tcPr>
          <w:p w14:paraId="4C131475">
            <w:pPr>
              <w:jc w:val="center"/>
              <w:rPr>
                <w:rFonts w:eastAsia="仿宋"/>
                <w:sz w:val="24"/>
              </w:rPr>
            </w:pPr>
            <w:r>
              <w:rPr>
                <w:rFonts w:eastAsia="仿宋"/>
                <w:sz w:val="24"/>
              </w:rPr>
              <w:t>国家</w:t>
            </w:r>
          </w:p>
          <w:p w14:paraId="1304A9B8">
            <w:pPr>
              <w:jc w:val="center"/>
              <w:rPr>
                <w:rFonts w:eastAsia="仿宋"/>
                <w:sz w:val="24"/>
              </w:rPr>
            </w:pPr>
            <w:r>
              <w:rPr>
                <w:rFonts w:hint="eastAsia" w:eastAsia="仿宋"/>
                <w:sz w:val="24"/>
              </w:rPr>
              <w:t>(</w:t>
            </w:r>
            <w:r>
              <w:rPr>
                <w:rFonts w:eastAsia="仿宋"/>
                <w:sz w:val="24"/>
              </w:rPr>
              <w:t>地区</w:t>
            </w:r>
            <w:r>
              <w:rPr>
                <w:rFonts w:hint="eastAsia" w:eastAsia="仿宋"/>
                <w:sz w:val="24"/>
              </w:rPr>
              <w:t>)</w:t>
            </w:r>
          </w:p>
        </w:tc>
        <w:tc>
          <w:tcPr>
            <w:tcW w:w="1105" w:type="dxa"/>
            <w:vAlign w:val="center"/>
          </w:tcPr>
          <w:p w14:paraId="34EFA9D2">
            <w:pPr>
              <w:jc w:val="center"/>
              <w:rPr>
                <w:rFonts w:eastAsia="仿宋"/>
                <w:sz w:val="24"/>
              </w:rPr>
            </w:pPr>
            <w:r>
              <w:rPr>
                <w:rFonts w:eastAsia="仿宋"/>
                <w:sz w:val="24"/>
              </w:rPr>
              <w:t>授权号</w:t>
            </w:r>
            <w:r>
              <w:rPr>
                <w:rFonts w:hint="eastAsia" w:eastAsia="仿宋"/>
                <w:sz w:val="24"/>
              </w:rPr>
              <w:t>(</w:t>
            </w:r>
            <w:r>
              <w:rPr>
                <w:rFonts w:eastAsia="仿宋"/>
                <w:sz w:val="24"/>
              </w:rPr>
              <w:t>标准编号</w:t>
            </w:r>
            <w:r>
              <w:rPr>
                <w:rFonts w:hint="eastAsia" w:eastAsia="仿宋"/>
                <w:sz w:val="24"/>
              </w:rPr>
              <w:t>)</w:t>
            </w:r>
          </w:p>
        </w:tc>
        <w:tc>
          <w:tcPr>
            <w:tcW w:w="1134" w:type="dxa"/>
            <w:vAlign w:val="center"/>
          </w:tcPr>
          <w:p w14:paraId="6952BD0C">
            <w:pPr>
              <w:jc w:val="center"/>
              <w:rPr>
                <w:rFonts w:eastAsia="仿宋"/>
                <w:sz w:val="24"/>
              </w:rPr>
            </w:pPr>
            <w:r>
              <w:rPr>
                <w:rFonts w:eastAsia="仿宋"/>
                <w:sz w:val="24"/>
              </w:rPr>
              <w:t>授权(标准发布)</w:t>
            </w:r>
          </w:p>
          <w:p w14:paraId="262B5472">
            <w:pPr>
              <w:jc w:val="center"/>
              <w:rPr>
                <w:rFonts w:eastAsia="仿宋"/>
                <w:sz w:val="24"/>
              </w:rPr>
            </w:pPr>
            <w:r>
              <w:rPr>
                <w:rFonts w:eastAsia="仿宋"/>
                <w:sz w:val="24"/>
              </w:rPr>
              <w:t>日期</w:t>
            </w:r>
          </w:p>
        </w:tc>
        <w:tc>
          <w:tcPr>
            <w:tcW w:w="1276" w:type="dxa"/>
            <w:vAlign w:val="center"/>
          </w:tcPr>
          <w:p w14:paraId="67536025">
            <w:pPr>
              <w:jc w:val="center"/>
              <w:rPr>
                <w:rFonts w:eastAsia="仿宋"/>
                <w:sz w:val="24"/>
              </w:rPr>
            </w:pPr>
            <w:r>
              <w:rPr>
                <w:rFonts w:eastAsia="仿宋"/>
                <w:sz w:val="24"/>
              </w:rPr>
              <w:t>证书编号</w:t>
            </w:r>
            <w:r>
              <w:rPr>
                <w:rFonts w:hint="eastAsia" w:eastAsia="仿宋"/>
                <w:sz w:val="24"/>
              </w:rPr>
              <w:t>(</w:t>
            </w:r>
            <w:r>
              <w:rPr>
                <w:rFonts w:eastAsia="仿宋"/>
                <w:sz w:val="24"/>
              </w:rPr>
              <w:t>标准批准发布部门</w:t>
            </w:r>
            <w:r>
              <w:rPr>
                <w:rFonts w:hint="eastAsia" w:eastAsia="仿宋"/>
                <w:sz w:val="24"/>
              </w:rPr>
              <w:t>)</w:t>
            </w:r>
          </w:p>
        </w:tc>
        <w:tc>
          <w:tcPr>
            <w:tcW w:w="1021" w:type="dxa"/>
            <w:vAlign w:val="center"/>
          </w:tcPr>
          <w:p w14:paraId="049C5744">
            <w:pPr>
              <w:jc w:val="center"/>
              <w:rPr>
                <w:rFonts w:eastAsia="仿宋"/>
                <w:sz w:val="24"/>
              </w:rPr>
            </w:pPr>
            <w:r>
              <w:rPr>
                <w:rFonts w:eastAsia="仿宋"/>
                <w:sz w:val="24"/>
              </w:rPr>
              <w:t>权利人</w:t>
            </w:r>
            <w:r>
              <w:rPr>
                <w:rFonts w:hint="eastAsia" w:eastAsia="仿宋"/>
                <w:sz w:val="24"/>
              </w:rPr>
              <w:t>(</w:t>
            </w:r>
            <w:r>
              <w:rPr>
                <w:rFonts w:eastAsia="仿宋"/>
                <w:sz w:val="24"/>
              </w:rPr>
              <w:t>标准起草单位</w:t>
            </w:r>
            <w:r>
              <w:rPr>
                <w:rFonts w:hint="eastAsia" w:eastAsia="仿宋"/>
                <w:sz w:val="24"/>
              </w:rPr>
              <w:t>)</w:t>
            </w:r>
          </w:p>
        </w:tc>
        <w:tc>
          <w:tcPr>
            <w:tcW w:w="1247" w:type="dxa"/>
            <w:vAlign w:val="center"/>
          </w:tcPr>
          <w:p w14:paraId="7CCC8DC9">
            <w:pPr>
              <w:ind w:left="135"/>
              <w:jc w:val="left"/>
              <w:rPr>
                <w:rFonts w:eastAsia="仿宋"/>
                <w:sz w:val="24"/>
              </w:rPr>
            </w:pPr>
            <w:r>
              <w:rPr>
                <w:rFonts w:eastAsia="仿宋"/>
                <w:sz w:val="24"/>
              </w:rPr>
              <w:t>发明人</w:t>
            </w:r>
            <w:r>
              <w:rPr>
                <w:rFonts w:hint="eastAsia" w:eastAsia="仿宋"/>
                <w:sz w:val="24"/>
              </w:rPr>
              <w:t>(</w:t>
            </w:r>
            <w:r>
              <w:rPr>
                <w:rFonts w:eastAsia="仿宋"/>
                <w:sz w:val="24"/>
              </w:rPr>
              <w:t>标准起草人</w:t>
            </w:r>
            <w:r>
              <w:rPr>
                <w:rFonts w:hint="eastAsia" w:eastAsia="仿宋"/>
                <w:sz w:val="24"/>
              </w:rPr>
              <w:t>)</w:t>
            </w:r>
          </w:p>
        </w:tc>
      </w:tr>
      <w:tr w14:paraId="1A52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10EA8EEB">
            <w:pPr>
              <w:jc w:val="left"/>
              <w:rPr>
                <w:rFonts w:eastAsia="仿宋"/>
                <w:sz w:val="24"/>
              </w:rPr>
            </w:pPr>
            <w:r>
              <w:rPr>
                <w:rFonts w:hint="eastAsia" w:eastAsia="仿宋"/>
                <w:sz w:val="24"/>
              </w:rPr>
              <w:t>1</w:t>
            </w:r>
          </w:p>
        </w:tc>
        <w:tc>
          <w:tcPr>
            <w:tcW w:w="992" w:type="dxa"/>
            <w:vAlign w:val="center"/>
          </w:tcPr>
          <w:p w14:paraId="11797F04">
            <w:pPr>
              <w:jc w:val="left"/>
              <w:rPr>
                <w:rFonts w:eastAsia="仿宋"/>
                <w:sz w:val="24"/>
              </w:rPr>
            </w:pPr>
            <w:r>
              <w:rPr>
                <w:rFonts w:hint="eastAsia" w:eastAsia="仿宋"/>
                <w:sz w:val="24"/>
              </w:rPr>
              <w:t>发明专利</w:t>
            </w:r>
          </w:p>
        </w:tc>
        <w:tc>
          <w:tcPr>
            <w:tcW w:w="1106" w:type="dxa"/>
            <w:vAlign w:val="center"/>
          </w:tcPr>
          <w:p w14:paraId="7D0A69AB">
            <w:pPr>
              <w:rPr>
                <w:rFonts w:eastAsia="仿宋"/>
                <w:sz w:val="24"/>
              </w:rPr>
            </w:pPr>
            <w:r>
              <w:rPr>
                <w:rFonts w:hint="eastAsia" w:eastAsia="仿宋"/>
                <w:sz w:val="24"/>
              </w:rPr>
              <w:t>靶向人B7-H3分子的人源化单克隆抗体及其应用</w:t>
            </w:r>
          </w:p>
        </w:tc>
        <w:tc>
          <w:tcPr>
            <w:tcW w:w="1021" w:type="dxa"/>
            <w:vAlign w:val="center"/>
          </w:tcPr>
          <w:p w14:paraId="1384C9EF">
            <w:pPr>
              <w:rPr>
                <w:rFonts w:eastAsia="仿宋"/>
                <w:sz w:val="24"/>
              </w:rPr>
            </w:pPr>
            <w:r>
              <w:rPr>
                <w:rFonts w:hint="eastAsia" w:eastAsia="仿宋"/>
                <w:sz w:val="24"/>
              </w:rPr>
              <w:t>中国</w:t>
            </w:r>
          </w:p>
        </w:tc>
        <w:tc>
          <w:tcPr>
            <w:tcW w:w="1105" w:type="dxa"/>
            <w:vAlign w:val="center"/>
          </w:tcPr>
          <w:p w14:paraId="68439AFB">
            <w:pPr>
              <w:jc w:val="left"/>
              <w:rPr>
                <w:rFonts w:eastAsia="仿宋"/>
                <w:sz w:val="24"/>
              </w:rPr>
            </w:pPr>
            <w:r>
              <w:rPr>
                <w:rFonts w:eastAsia="仿宋"/>
                <w:sz w:val="24"/>
              </w:rPr>
              <w:t>ZL 2022 1 0020231.3</w:t>
            </w:r>
          </w:p>
        </w:tc>
        <w:tc>
          <w:tcPr>
            <w:tcW w:w="1134" w:type="dxa"/>
            <w:vAlign w:val="center"/>
          </w:tcPr>
          <w:p w14:paraId="049D8221">
            <w:pPr>
              <w:jc w:val="left"/>
              <w:rPr>
                <w:rFonts w:eastAsia="仿宋"/>
                <w:sz w:val="24"/>
              </w:rPr>
            </w:pPr>
            <w:r>
              <w:rPr>
                <w:rFonts w:hint="eastAsia" w:eastAsia="仿宋"/>
                <w:sz w:val="24"/>
              </w:rPr>
              <w:t>2023年04月28日</w:t>
            </w:r>
          </w:p>
        </w:tc>
        <w:tc>
          <w:tcPr>
            <w:tcW w:w="1276" w:type="dxa"/>
            <w:vAlign w:val="center"/>
          </w:tcPr>
          <w:p w14:paraId="2995D187">
            <w:pPr>
              <w:jc w:val="left"/>
              <w:rPr>
                <w:rFonts w:ascii="宋体" w:cs="宋体" w:hAnsiTheme="minorHAnsi"/>
                <w:kern w:val="0"/>
                <w:sz w:val="23"/>
                <w:szCs w:val="23"/>
              </w:rPr>
            </w:pPr>
            <w:r>
              <w:rPr>
                <w:rFonts w:ascii="宋体" w:cs="宋体" w:hAnsiTheme="minorHAnsi"/>
                <w:kern w:val="0"/>
                <w:sz w:val="23"/>
                <w:szCs w:val="23"/>
              </w:rPr>
              <w:t>5918255</w:t>
            </w:r>
          </w:p>
        </w:tc>
        <w:tc>
          <w:tcPr>
            <w:tcW w:w="1021" w:type="dxa"/>
            <w:vAlign w:val="center"/>
          </w:tcPr>
          <w:p w14:paraId="739401F4">
            <w:pPr>
              <w:jc w:val="left"/>
              <w:rPr>
                <w:rFonts w:eastAsia="仿宋"/>
                <w:sz w:val="24"/>
              </w:rPr>
            </w:pPr>
            <w:r>
              <w:rPr>
                <w:rFonts w:hint="eastAsia" w:eastAsia="仿宋"/>
                <w:sz w:val="24"/>
              </w:rPr>
              <w:t>苏州旭光科星抗体生物科技有限公司</w:t>
            </w:r>
          </w:p>
        </w:tc>
        <w:tc>
          <w:tcPr>
            <w:tcW w:w="1247" w:type="dxa"/>
            <w:vAlign w:val="center"/>
          </w:tcPr>
          <w:p w14:paraId="101BECA6">
            <w:pPr>
              <w:jc w:val="left"/>
              <w:rPr>
                <w:rFonts w:eastAsia="仿宋"/>
                <w:sz w:val="24"/>
              </w:rPr>
            </w:pPr>
            <w:r>
              <w:rPr>
                <w:rFonts w:hint="eastAsia" w:eastAsia="仿宋"/>
                <w:sz w:val="24"/>
              </w:rPr>
              <w:t>张学光;傅丰庆</w:t>
            </w:r>
          </w:p>
        </w:tc>
      </w:tr>
      <w:tr w14:paraId="79E9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15E0EC10">
            <w:pPr>
              <w:jc w:val="left"/>
              <w:rPr>
                <w:rFonts w:eastAsia="仿宋"/>
                <w:sz w:val="24"/>
              </w:rPr>
            </w:pPr>
            <w:r>
              <w:rPr>
                <w:rFonts w:hint="eastAsia" w:eastAsia="仿宋"/>
                <w:sz w:val="24"/>
              </w:rPr>
              <w:t>2</w:t>
            </w:r>
          </w:p>
        </w:tc>
        <w:tc>
          <w:tcPr>
            <w:tcW w:w="992" w:type="dxa"/>
          </w:tcPr>
          <w:p w14:paraId="70CCD85C">
            <w:pPr>
              <w:jc w:val="left"/>
              <w:rPr>
                <w:rFonts w:eastAsia="仿宋"/>
                <w:sz w:val="24"/>
              </w:rPr>
            </w:pPr>
            <w:r>
              <w:rPr>
                <w:rFonts w:hint="eastAsia" w:eastAsia="仿宋"/>
                <w:sz w:val="24"/>
              </w:rPr>
              <w:t>发明专利</w:t>
            </w:r>
          </w:p>
        </w:tc>
        <w:tc>
          <w:tcPr>
            <w:tcW w:w="1106" w:type="dxa"/>
            <w:vAlign w:val="center"/>
          </w:tcPr>
          <w:p w14:paraId="7D952440">
            <w:pPr>
              <w:rPr>
                <w:rFonts w:eastAsia="仿宋"/>
                <w:sz w:val="24"/>
              </w:rPr>
            </w:pPr>
            <w:r>
              <w:rPr>
                <w:rFonts w:hint="eastAsia" w:eastAsia="仿宋"/>
                <w:sz w:val="24"/>
              </w:rPr>
              <w:t>一种抗肿瘤组合物及其表达载体和应用</w:t>
            </w:r>
          </w:p>
        </w:tc>
        <w:tc>
          <w:tcPr>
            <w:tcW w:w="1021" w:type="dxa"/>
            <w:vAlign w:val="center"/>
          </w:tcPr>
          <w:p w14:paraId="5D9C9B91">
            <w:pPr>
              <w:rPr>
                <w:rFonts w:eastAsia="仿宋"/>
                <w:sz w:val="24"/>
              </w:rPr>
            </w:pPr>
            <w:r>
              <w:rPr>
                <w:rFonts w:hint="eastAsia" w:eastAsia="仿宋"/>
                <w:sz w:val="24"/>
              </w:rPr>
              <w:t>中国</w:t>
            </w:r>
          </w:p>
        </w:tc>
        <w:tc>
          <w:tcPr>
            <w:tcW w:w="1105" w:type="dxa"/>
            <w:vAlign w:val="center"/>
          </w:tcPr>
          <w:p w14:paraId="5C08EE4E">
            <w:pPr>
              <w:jc w:val="left"/>
              <w:rPr>
                <w:rFonts w:eastAsia="仿宋"/>
                <w:sz w:val="24"/>
              </w:rPr>
            </w:pPr>
            <w:r>
              <w:rPr>
                <w:rFonts w:hint="eastAsia" w:eastAsia="仿宋"/>
                <w:sz w:val="24"/>
              </w:rPr>
              <w:t>ZL 2018 1 0435357.0</w:t>
            </w:r>
          </w:p>
        </w:tc>
        <w:tc>
          <w:tcPr>
            <w:tcW w:w="1134" w:type="dxa"/>
            <w:vAlign w:val="center"/>
          </w:tcPr>
          <w:p w14:paraId="5DAAFE00">
            <w:pPr>
              <w:jc w:val="left"/>
              <w:rPr>
                <w:rFonts w:eastAsia="仿宋"/>
                <w:sz w:val="24"/>
              </w:rPr>
            </w:pPr>
            <w:r>
              <w:rPr>
                <w:rFonts w:hint="eastAsia" w:eastAsia="仿宋"/>
                <w:sz w:val="24"/>
              </w:rPr>
              <w:t>2020年09月15日</w:t>
            </w:r>
          </w:p>
        </w:tc>
        <w:tc>
          <w:tcPr>
            <w:tcW w:w="1276" w:type="dxa"/>
            <w:vAlign w:val="center"/>
          </w:tcPr>
          <w:p w14:paraId="03DF33C6">
            <w:pPr>
              <w:jc w:val="left"/>
              <w:rPr>
                <w:rFonts w:ascii="宋体" w:cs="宋体" w:hAnsiTheme="minorHAnsi"/>
                <w:kern w:val="0"/>
                <w:sz w:val="23"/>
                <w:szCs w:val="23"/>
              </w:rPr>
            </w:pPr>
            <w:r>
              <w:rPr>
                <w:rFonts w:hint="eastAsia" w:ascii="宋体" w:cs="宋体" w:hAnsiTheme="minorHAnsi"/>
                <w:kern w:val="0"/>
                <w:sz w:val="23"/>
                <w:szCs w:val="23"/>
              </w:rPr>
              <w:t>3987077</w:t>
            </w:r>
          </w:p>
        </w:tc>
        <w:tc>
          <w:tcPr>
            <w:tcW w:w="1021" w:type="dxa"/>
            <w:vAlign w:val="center"/>
          </w:tcPr>
          <w:p w14:paraId="24D1EA61">
            <w:pPr>
              <w:jc w:val="left"/>
              <w:rPr>
                <w:rFonts w:eastAsia="仿宋"/>
                <w:sz w:val="24"/>
              </w:rPr>
            </w:pPr>
            <w:r>
              <w:rPr>
                <w:rFonts w:hint="eastAsia" w:eastAsia="仿宋"/>
                <w:sz w:val="24"/>
              </w:rPr>
              <w:t>苏州大学</w:t>
            </w:r>
          </w:p>
        </w:tc>
        <w:tc>
          <w:tcPr>
            <w:tcW w:w="1247" w:type="dxa"/>
            <w:vAlign w:val="center"/>
          </w:tcPr>
          <w:p w14:paraId="24194E9A">
            <w:pPr>
              <w:jc w:val="left"/>
              <w:rPr>
                <w:rFonts w:eastAsia="仿宋"/>
                <w:sz w:val="24"/>
              </w:rPr>
            </w:pPr>
            <w:r>
              <w:rPr>
                <w:rFonts w:hint="eastAsia" w:eastAsia="仿宋"/>
                <w:sz w:val="24"/>
              </w:rPr>
              <w:t>王雪峰；卢斌峰；蒋敬庭；朱一蓓；鲁翰林；申春苹；陈晨；宋盈莹</w:t>
            </w:r>
          </w:p>
        </w:tc>
      </w:tr>
      <w:tr w14:paraId="2F2F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175B1D7E">
            <w:pPr>
              <w:jc w:val="left"/>
              <w:rPr>
                <w:rFonts w:eastAsia="仿宋"/>
                <w:sz w:val="24"/>
              </w:rPr>
            </w:pPr>
            <w:r>
              <w:rPr>
                <w:rFonts w:hint="eastAsia" w:eastAsia="仿宋"/>
                <w:sz w:val="24"/>
              </w:rPr>
              <w:t>3</w:t>
            </w:r>
          </w:p>
        </w:tc>
        <w:tc>
          <w:tcPr>
            <w:tcW w:w="992" w:type="dxa"/>
          </w:tcPr>
          <w:p w14:paraId="1D873495">
            <w:pPr>
              <w:jc w:val="left"/>
              <w:rPr>
                <w:rFonts w:eastAsia="仿宋"/>
                <w:sz w:val="24"/>
              </w:rPr>
            </w:pPr>
            <w:r>
              <w:rPr>
                <w:rFonts w:hint="eastAsia" w:eastAsia="仿宋"/>
                <w:sz w:val="24"/>
              </w:rPr>
              <w:t>发明专利</w:t>
            </w:r>
          </w:p>
        </w:tc>
        <w:tc>
          <w:tcPr>
            <w:tcW w:w="1106" w:type="dxa"/>
            <w:vAlign w:val="center"/>
          </w:tcPr>
          <w:p w14:paraId="66F8E861">
            <w:pPr>
              <w:rPr>
                <w:sz w:val="24"/>
              </w:rPr>
            </w:pPr>
            <w:r>
              <w:rPr>
                <w:sz w:val="24"/>
              </w:rPr>
              <w:t>IL-36</w:t>
            </w:r>
            <w:r>
              <w:rPr>
                <w:sz w:val="24"/>
                <w:szCs w:val="24"/>
              </w:rPr>
              <w:t>β的应用</w:t>
            </w:r>
          </w:p>
        </w:tc>
        <w:tc>
          <w:tcPr>
            <w:tcW w:w="1021" w:type="dxa"/>
            <w:vAlign w:val="center"/>
          </w:tcPr>
          <w:p w14:paraId="75F7D08A">
            <w:pPr>
              <w:rPr>
                <w:rFonts w:eastAsia="仿宋"/>
                <w:sz w:val="24"/>
              </w:rPr>
            </w:pPr>
            <w:r>
              <w:rPr>
                <w:rFonts w:hint="eastAsia" w:eastAsia="仿宋"/>
                <w:sz w:val="24"/>
              </w:rPr>
              <w:t>中国</w:t>
            </w:r>
          </w:p>
        </w:tc>
        <w:tc>
          <w:tcPr>
            <w:tcW w:w="1105" w:type="dxa"/>
            <w:vAlign w:val="center"/>
          </w:tcPr>
          <w:p w14:paraId="3F082F46">
            <w:pPr>
              <w:jc w:val="left"/>
              <w:rPr>
                <w:rFonts w:eastAsia="仿宋"/>
                <w:sz w:val="24"/>
              </w:rPr>
            </w:pPr>
            <w:r>
              <w:rPr>
                <w:rFonts w:eastAsia="仿宋"/>
                <w:sz w:val="24"/>
              </w:rPr>
              <w:t>ZL 2019 1 0404044.3</w:t>
            </w:r>
          </w:p>
        </w:tc>
        <w:tc>
          <w:tcPr>
            <w:tcW w:w="1134" w:type="dxa"/>
            <w:vAlign w:val="center"/>
          </w:tcPr>
          <w:p w14:paraId="380A750F">
            <w:pPr>
              <w:jc w:val="left"/>
              <w:rPr>
                <w:rFonts w:eastAsia="仿宋"/>
                <w:sz w:val="24"/>
              </w:rPr>
            </w:pPr>
            <w:r>
              <w:rPr>
                <w:rFonts w:hint="eastAsia" w:eastAsia="仿宋"/>
                <w:sz w:val="24"/>
              </w:rPr>
              <w:t>2023年03月24日</w:t>
            </w:r>
          </w:p>
        </w:tc>
        <w:tc>
          <w:tcPr>
            <w:tcW w:w="1276" w:type="dxa"/>
            <w:vAlign w:val="center"/>
          </w:tcPr>
          <w:p w14:paraId="0439981F">
            <w:pPr>
              <w:jc w:val="left"/>
              <w:rPr>
                <w:rFonts w:ascii="宋体" w:cs="宋体" w:hAnsiTheme="minorHAnsi"/>
                <w:kern w:val="0"/>
                <w:sz w:val="23"/>
                <w:szCs w:val="23"/>
              </w:rPr>
            </w:pPr>
            <w:r>
              <w:rPr>
                <w:rFonts w:hint="eastAsia" w:ascii="宋体" w:cs="宋体" w:hAnsiTheme="minorHAnsi"/>
                <w:kern w:val="0"/>
                <w:sz w:val="23"/>
                <w:szCs w:val="23"/>
              </w:rPr>
              <w:t>5815086</w:t>
            </w:r>
          </w:p>
        </w:tc>
        <w:tc>
          <w:tcPr>
            <w:tcW w:w="1021" w:type="dxa"/>
            <w:vAlign w:val="center"/>
          </w:tcPr>
          <w:p w14:paraId="308D7E4E">
            <w:pPr>
              <w:jc w:val="left"/>
              <w:rPr>
                <w:rFonts w:eastAsia="仿宋"/>
                <w:sz w:val="24"/>
              </w:rPr>
            </w:pPr>
            <w:r>
              <w:rPr>
                <w:rFonts w:hint="eastAsia" w:eastAsia="仿宋"/>
                <w:sz w:val="24"/>
              </w:rPr>
              <w:t>苏州大学</w:t>
            </w:r>
          </w:p>
        </w:tc>
        <w:tc>
          <w:tcPr>
            <w:tcW w:w="1247" w:type="dxa"/>
            <w:vAlign w:val="center"/>
          </w:tcPr>
          <w:p w14:paraId="3F335426">
            <w:pPr>
              <w:jc w:val="left"/>
              <w:rPr>
                <w:rFonts w:eastAsia="仿宋"/>
                <w:sz w:val="24"/>
              </w:rPr>
            </w:pPr>
            <w:r>
              <w:rPr>
                <w:rFonts w:hint="eastAsia" w:eastAsia="仿宋"/>
                <w:sz w:val="24"/>
              </w:rPr>
              <w:t>王雪峰；朱一蓓；蒋敬庭；申春苹；</w:t>
            </w:r>
          </w:p>
        </w:tc>
      </w:tr>
      <w:tr w14:paraId="4185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7C91BC6E">
            <w:pPr>
              <w:jc w:val="left"/>
              <w:rPr>
                <w:rFonts w:hint="eastAsia" w:eastAsia="仿宋"/>
                <w:sz w:val="24"/>
              </w:rPr>
            </w:pPr>
            <w:r>
              <w:rPr>
                <w:rFonts w:hint="eastAsia" w:eastAsia="仿宋"/>
                <w:sz w:val="24"/>
              </w:rPr>
              <w:t>4</w:t>
            </w:r>
          </w:p>
        </w:tc>
        <w:tc>
          <w:tcPr>
            <w:tcW w:w="992" w:type="dxa"/>
          </w:tcPr>
          <w:p w14:paraId="7DF6B3C8">
            <w:pPr>
              <w:jc w:val="left"/>
              <w:rPr>
                <w:rFonts w:hint="eastAsia" w:eastAsia="仿宋"/>
                <w:sz w:val="24"/>
              </w:rPr>
            </w:pPr>
            <w:r>
              <w:rPr>
                <w:rFonts w:hint="eastAsia" w:eastAsia="仿宋"/>
                <w:sz w:val="24"/>
              </w:rPr>
              <w:t>发明专利</w:t>
            </w:r>
          </w:p>
        </w:tc>
        <w:tc>
          <w:tcPr>
            <w:tcW w:w="1106" w:type="dxa"/>
            <w:vAlign w:val="center"/>
          </w:tcPr>
          <w:p w14:paraId="7C5BE82E">
            <w:pPr>
              <w:rPr>
                <w:sz w:val="24"/>
              </w:rPr>
            </w:pPr>
            <w:r>
              <w:rPr>
                <w:rFonts w:hint="eastAsia"/>
                <w:sz w:val="24"/>
              </w:rPr>
              <w:t>IL-36</w:t>
            </w:r>
            <w:r>
              <w:rPr>
                <w:sz w:val="24"/>
              </w:rPr>
              <w:t>γ或者IL-36γ</w:t>
            </w:r>
            <w:r>
              <w:rPr>
                <w:rFonts w:hint="eastAsia"/>
                <w:sz w:val="24"/>
              </w:rPr>
              <w:t>联合TGF</w:t>
            </w:r>
            <w:r>
              <w:rPr>
                <w:sz w:val="24"/>
              </w:rPr>
              <w:t>-β</w:t>
            </w:r>
            <w:r>
              <w:rPr>
                <w:rFonts w:hint="eastAsia"/>
                <w:sz w:val="24"/>
              </w:rPr>
              <w:t>的应用</w:t>
            </w:r>
          </w:p>
        </w:tc>
        <w:tc>
          <w:tcPr>
            <w:tcW w:w="1021" w:type="dxa"/>
            <w:vAlign w:val="center"/>
          </w:tcPr>
          <w:p w14:paraId="6CE71589">
            <w:pPr>
              <w:rPr>
                <w:rFonts w:hint="eastAsia" w:eastAsia="仿宋"/>
                <w:sz w:val="24"/>
              </w:rPr>
            </w:pPr>
            <w:r>
              <w:rPr>
                <w:rFonts w:hint="eastAsia" w:eastAsia="仿宋"/>
                <w:sz w:val="24"/>
              </w:rPr>
              <w:t>中国</w:t>
            </w:r>
          </w:p>
        </w:tc>
        <w:tc>
          <w:tcPr>
            <w:tcW w:w="1105" w:type="dxa"/>
            <w:vAlign w:val="center"/>
          </w:tcPr>
          <w:p w14:paraId="7832071A">
            <w:pPr>
              <w:jc w:val="left"/>
              <w:rPr>
                <w:rFonts w:eastAsia="仿宋"/>
                <w:sz w:val="24"/>
              </w:rPr>
            </w:pPr>
            <w:r>
              <w:rPr>
                <w:rFonts w:eastAsia="仿宋"/>
                <w:sz w:val="24"/>
              </w:rPr>
              <w:t>ZL 2021 1 0935851.5</w:t>
            </w:r>
          </w:p>
        </w:tc>
        <w:tc>
          <w:tcPr>
            <w:tcW w:w="1134" w:type="dxa"/>
            <w:vAlign w:val="center"/>
          </w:tcPr>
          <w:p w14:paraId="324764A9">
            <w:pPr>
              <w:jc w:val="left"/>
              <w:rPr>
                <w:rFonts w:hint="eastAsia" w:eastAsia="仿宋"/>
                <w:sz w:val="24"/>
              </w:rPr>
            </w:pPr>
            <w:r>
              <w:rPr>
                <w:rFonts w:hint="eastAsia" w:eastAsia="仿宋"/>
                <w:sz w:val="24"/>
              </w:rPr>
              <w:t>2024年08月02日</w:t>
            </w:r>
          </w:p>
        </w:tc>
        <w:tc>
          <w:tcPr>
            <w:tcW w:w="1276" w:type="dxa"/>
            <w:vAlign w:val="center"/>
          </w:tcPr>
          <w:p w14:paraId="77ED76BE">
            <w:pPr>
              <w:jc w:val="left"/>
              <w:rPr>
                <w:rFonts w:hint="eastAsia" w:ascii="宋体" w:cs="宋体" w:hAnsiTheme="minorHAnsi"/>
                <w:kern w:val="0"/>
                <w:sz w:val="23"/>
                <w:szCs w:val="23"/>
              </w:rPr>
            </w:pPr>
            <w:r>
              <w:rPr>
                <w:rFonts w:ascii="宋体" w:cs="宋体" w:hAnsiTheme="minorHAnsi"/>
                <w:kern w:val="0"/>
                <w:sz w:val="23"/>
                <w:szCs w:val="23"/>
              </w:rPr>
              <w:t>7247863</w:t>
            </w:r>
          </w:p>
        </w:tc>
        <w:tc>
          <w:tcPr>
            <w:tcW w:w="1021" w:type="dxa"/>
            <w:vAlign w:val="center"/>
          </w:tcPr>
          <w:p w14:paraId="6BF13E92">
            <w:pPr>
              <w:jc w:val="left"/>
              <w:rPr>
                <w:rFonts w:hint="eastAsia" w:eastAsia="仿宋"/>
                <w:sz w:val="24"/>
              </w:rPr>
            </w:pPr>
            <w:r>
              <w:rPr>
                <w:rFonts w:hint="eastAsia" w:eastAsia="仿宋"/>
                <w:sz w:val="24"/>
              </w:rPr>
              <w:t>苏州大学</w:t>
            </w:r>
          </w:p>
        </w:tc>
        <w:tc>
          <w:tcPr>
            <w:tcW w:w="1247" w:type="dxa"/>
            <w:vAlign w:val="center"/>
          </w:tcPr>
          <w:p w14:paraId="20FA6871">
            <w:pPr>
              <w:jc w:val="left"/>
              <w:rPr>
                <w:rFonts w:hint="eastAsia" w:eastAsia="仿宋"/>
                <w:sz w:val="24"/>
              </w:rPr>
            </w:pPr>
            <w:r>
              <w:rPr>
                <w:rFonts w:hint="eastAsia" w:eastAsia="仿宋"/>
                <w:sz w:val="24"/>
              </w:rPr>
              <w:t xml:space="preserve">王雪峰；朱启泰；李慕瑶 </w:t>
            </w:r>
          </w:p>
        </w:tc>
      </w:tr>
    </w:tbl>
    <w:p w14:paraId="4BFAEB93">
      <w:pPr>
        <w:spacing w:line="360" w:lineRule="auto"/>
        <w:jc w:val="left"/>
      </w:pP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4C"/>
    <w:rsid w:val="00000C98"/>
    <w:rsid w:val="00007E87"/>
    <w:rsid w:val="000163E0"/>
    <w:rsid w:val="00017886"/>
    <w:rsid w:val="00071631"/>
    <w:rsid w:val="00076501"/>
    <w:rsid w:val="00077506"/>
    <w:rsid w:val="000A1BF9"/>
    <w:rsid w:val="000A7E29"/>
    <w:rsid w:val="000B7D8E"/>
    <w:rsid w:val="000D0C55"/>
    <w:rsid w:val="000D1F01"/>
    <w:rsid w:val="000F0A6F"/>
    <w:rsid w:val="00162591"/>
    <w:rsid w:val="00166FFA"/>
    <w:rsid w:val="001914D3"/>
    <w:rsid w:val="001D459B"/>
    <w:rsid w:val="002007E1"/>
    <w:rsid w:val="00235D94"/>
    <w:rsid w:val="00253745"/>
    <w:rsid w:val="0027747E"/>
    <w:rsid w:val="002941F4"/>
    <w:rsid w:val="00297976"/>
    <w:rsid w:val="002B604C"/>
    <w:rsid w:val="002D4A5C"/>
    <w:rsid w:val="002E2418"/>
    <w:rsid w:val="003072E7"/>
    <w:rsid w:val="00324263"/>
    <w:rsid w:val="00332F80"/>
    <w:rsid w:val="00337FD8"/>
    <w:rsid w:val="00363905"/>
    <w:rsid w:val="003745C3"/>
    <w:rsid w:val="00376E9D"/>
    <w:rsid w:val="00393548"/>
    <w:rsid w:val="003B3E84"/>
    <w:rsid w:val="00401F1A"/>
    <w:rsid w:val="00405C75"/>
    <w:rsid w:val="00422E59"/>
    <w:rsid w:val="00443033"/>
    <w:rsid w:val="00444B10"/>
    <w:rsid w:val="00497E1E"/>
    <w:rsid w:val="004B1B7C"/>
    <w:rsid w:val="004B4610"/>
    <w:rsid w:val="004B57DF"/>
    <w:rsid w:val="00503CA9"/>
    <w:rsid w:val="00515841"/>
    <w:rsid w:val="00550B3A"/>
    <w:rsid w:val="0056167C"/>
    <w:rsid w:val="00577FE0"/>
    <w:rsid w:val="00594384"/>
    <w:rsid w:val="005C0E74"/>
    <w:rsid w:val="005D6D15"/>
    <w:rsid w:val="005E0DE6"/>
    <w:rsid w:val="005F1534"/>
    <w:rsid w:val="005F38A2"/>
    <w:rsid w:val="006267D3"/>
    <w:rsid w:val="00626C4C"/>
    <w:rsid w:val="0064699E"/>
    <w:rsid w:val="00651D7F"/>
    <w:rsid w:val="00657F24"/>
    <w:rsid w:val="00667723"/>
    <w:rsid w:val="00685A3B"/>
    <w:rsid w:val="006B3A45"/>
    <w:rsid w:val="006C27C1"/>
    <w:rsid w:val="006F099A"/>
    <w:rsid w:val="007042D5"/>
    <w:rsid w:val="00710BD5"/>
    <w:rsid w:val="007121C2"/>
    <w:rsid w:val="00735D39"/>
    <w:rsid w:val="00741858"/>
    <w:rsid w:val="00750054"/>
    <w:rsid w:val="00776153"/>
    <w:rsid w:val="007E739E"/>
    <w:rsid w:val="007F1808"/>
    <w:rsid w:val="007F4B74"/>
    <w:rsid w:val="008211A0"/>
    <w:rsid w:val="00822474"/>
    <w:rsid w:val="008231B9"/>
    <w:rsid w:val="008532E1"/>
    <w:rsid w:val="008763DB"/>
    <w:rsid w:val="00887165"/>
    <w:rsid w:val="00892568"/>
    <w:rsid w:val="008B74D9"/>
    <w:rsid w:val="008C1CC7"/>
    <w:rsid w:val="008F7D60"/>
    <w:rsid w:val="0093323B"/>
    <w:rsid w:val="00935B47"/>
    <w:rsid w:val="0095011C"/>
    <w:rsid w:val="00962579"/>
    <w:rsid w:val="00992FE9"/>
    <w:rsid w:val="0099327A"/>
    <w:rsid w:val="009964B0"/>
    <w:rsid w:val="009A7720"/>
    <w:rsid w:val="009C43EC"/>
    <w:rsid w:val="00A52F65"/>
    <w:rsid w:val="00A57F66"/>
    <w:rsid w:val="00AD4E8F"/>
    <w:rsid w:val="00AD6F7B"/>
    <w:rsid w:val="00AE3C58"/>
    <w:rsid w:val="00B051D1"/>
    <w:rsid w:val="00B23FD1"/>
    <w:rsid w:val="00B379F1"/>
    <w:rsid w:val="00B96911"/>
    <w:rsid w:val="00BA12BA"/>
    <w:rsid w:val="00BA3DA2"/>
    <w:rsid w:val="00BE47F5"/>
    <w:rsid w:val="00C6797A"/>
    <w:rsid w:val="00CA6E44"/>
    <w:rsid w:val="00CC6A2F"/>
    <w:rsid w:val="00CD091B"/>
    <w:rsid w:val="00CD099A"/>
    <w:rsid w:val="00CD5404"/>
    <w:rsid w:val="00CD5521"/>
    <w:rsid w:val="00CE1BD4"/>
    <w:rsid w:val="00CE1C08"/>
    <w:rsid w:val="00CE514C"/>
    <w:rsid w:val="00D04D6F"/>
    <w:rsid w:val="00D06977"/>
    <w:rsid w:val="00D06E92"/>
    <w:rsid w:val="00D3357A"/>
    <w:rsid w:val="00D9648A"/>
    <w:rsid w:val="00DA2D58"/>
    <w:rsid w:val="00DA6912"/>
    <w:rsid w:val="00DC5E2B"/>
    <w:rsid w:val="00DF595C"/>
    <w:rsid w:val="00E17FC0"/>
    <w:rsid w:val="00E209E8"/>
    <w:rsid w:val="00E37908"/>
    <w:rsid w:val="00E438C6"/>
    <w:rsid w:val="00E63BB9"/>
    <w:rsid w:val="00E97E27"/>
    <w:rsid w:val="00EB3458"/>
    <w:rsid w:val="00EF4C0F"/>
    <w:rsid w:val="00EF6FA2"/>
    <w:rsid w:val="00F1524A"/>
    <w:rsid w:val="00F168E3"/>
    <w:rsid w:val="00F271B3"/>
    <w:rsid w:val="00F41D10"/>
    <w:rsid w:val="00F54160"/>
    <w:rsid w:val="00F65E98"/>
    <w:rsid w:val="00F740A6"/>
    <w:rsid w:val="00F76BB1"/>
    <w:rsid w:val="00FD2BE9"/>
    <w:rsid w:val="00FD5FFD"/>
    <w:rsid w:val="00FF06EB"/>
    <w:rsid w:val="1BC9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标题1工作手册"/>
    <w:basedOn w:val="2"/>
    <w:link w:val="11"/>
    <w:qFormat/>
    <w:uiPriority w:val="0"/>
    <w:pPr>
      <w:keepNext w:val="0"/>
      <w:keepLines w:val="0"/>
      <w:tabs>
        <w:tab w:val="left" w:pos="3223"/>
      </w:tabs>
      <w:kinsoku w:val="0"/>
      <w:overflowPunct w:val="0"/>
      <w:autoSpaceDE w:val="0"/>
      <w:autoSpaceDN w:val="0"/>
      <w:adjustRightInd w:val="0"/>
      <w:snapToGrid w:val="0"/>
      <w:spacing w:before="0" w:after="0" w:line="240" w:lineRule="auto"/>
      <w:jc w:val="center"/>
    </w:pPr>
    <w:rPr>
      <w:rFonts w:ascii="华文中宋" w:hAnsi="华文中宋"/>
      <w:sz w:val="36"/>
      <w:szCs w:val="36"/>
    </w:rPr>
  </w:style>
  <w:style w:type="character" w:customStyle="1" w:styleId="11">
    <w:name w:val="标题1工作手册 字符"/>
    <w:basedOn w:val="6"/>
    <w:link w:val="10"/>
    <w:qFormat/>
    <w:uiPriority w:val="0"/>
    <w:rPr>
      <w:rFonts w:ascii="华文中宋" w:hAnsi="华文中宋" w:eastAsia="宋体" w:cs="Times New Roman"/>
      <w:b/>
      <w:bCs/>
      <w:kern w:val="44"/>
      <w:sz w:val="36"/>
      <w:szCs w:val="36"/>
    </w:rPr>
  </w:style>
  <w:style w:type="character" w:customStyle="1" w:styleId="12">
    <w:name w:val="标题 1 字符"/>
    <w:basedOn w:val="6"/>
    <w:link w:val="2"/>
    <w:qFormat/>
    <w:uiPriority w:val="9"/>
    <w:rPr>
      <w:rFonts w:ascii="Times New Roman" w:hAnsi="Times New Roman" w:eastAsia="宋体" w:cs="Times New Roman"/>
      <w:b/>
      <w:bCs/>
      <w:kern w:val="44"/>
      <w:sz w:val="44"/>
      <w:szCs w:val="44"/>
    </w:rPr>
  </w:style>
  <w:style w:type="paragraph" w:customStyle="1" w:styleId="13">
    <w:name w:val="Char Char"/>
    <w:basedOn w:val="1"/>
    <w:qFormat/>
    <w:uiPriority w:val="0"/>
    <w:pPr>
      <w:widowControl/>
      <w:spacing w:after="160" w:line="240" w:lineRule="exact"/>
      <w:jc w:val="left"/>
    </w:pPr>
    <w:rPr>
      <w:rFonts w:ascii="Verdana" w:hAnsi="Verdana" w:eastAsia="仿宋_GB2312"/>
      <w:kern w:val="0"/>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5418-21D9-4663-9C6B-EC0EAB99147C}">
  <ds:schemaRefs/>
</ds:datastoreItem>
</file>

<file path=docProps/app.xml><?xml version="1.0" encoding="utf-8"?>
<Properties xmlns="http://schemas.openxmlformats.org/officeDocument/2006/extended-properties" xmlns:vt="http://schemas.openxmlformats.org/officeDocument/2006/docPropsVTypes">
  <Template>Normal</Template>
  <Pages>5</Pages>
  <Words>2169</Words>
  <Characters>3743</Characters>
  <Lines>29</Lines>
  <Paragraphs>8</Paragraphs>
  <TotalTime>14</TotalTime>
  <ScaleCrop>false</ScaleCrop>
  <LinksUpToDate>false</LinksUpToDate>
  <CharactersWithSpaces>3950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2025-03-06T08:55:00Z</dcterms:created>
  <dc:creator>Administrator</dc:creator>
  <cp:lastModifiedBy>Wynne Hsi</cp:lastModifiedBy>
  <dcterms:modified xsi:type="dcterms:W3CDTF">2025-03-12T02:25:40Z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22a17bc5fbb6187f0ef1c4477e25f0e5ff69acf0cc9aa5a8da40d8ce3932238f</vt:lpwstr>
  </property>
  <property fmtid="{D5CDD505-2E9C-101B-9397-08002B2CF9AE}" pid="3" name="KSOProductBuildVer">
    <vt:lpwstr>2052-12.1.0.20305</vt:lpwstr>
  </property>
  <property fmtid="{D5CDD505-2E9C-101B-9397-08002B2CF9AE}" pid="4" name="ICV">
    <vt:lpwstr>A9268149312F499BA649BEBBE659E736_13</vt:lpwstr>
  </property>
</Properties>
</file>